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40" w:lineRule="auto"/>
        <w:ind w:firstLine="0"/>
        <w:jc w:val="center"/>
      </w:pPr>
      <w:r>
        <w:rPr>
          <w:rFonts w:ascii="Times New Roman" w:hAnsi="Times New Roman" w:eastAsia="Times New Roman"/>
          <w:b/>
          <w:sz w:val="24"/>
        </w:rPr>
        <w:t>SATBAYEV UNIVERSITY</w:t>
      </w:r>
    </w:p>
    <w:p>
      <w:pPr>
        <w:keepNext w:val="0"/>
        <w:spacing w:before="0" w:after="0" w:line="240" w:lineRule="auto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ЗАКЛЮЧЕНИЕ</w:t>
      </w:r>
    </w:p>
    <w:p>
      <w:pPr>
        <w:keepNext w:val="0"/>
        <w:spacing w:before="0" w:after="200" w:line="252" w:lineRule="auto"/>
        <w:ind w:firstLine="0"/>
        <w:jc w:val="center"/>
      </w:pPr>
      <w:r>
        <w:rPr>
          <w:rFonts w:ascii="Times New Roman" w:hAnsi="Times New Roman" w:eastAsia="Times New Roman"/>
          <w:b/>
          <w:sz w:val="24"/>
        </w:rPr>
        <w:t>о готовности массового открытого онлайн-курса</w:t>
        <w:br/>
        <w:t>«Petroleum Data Analytics with Python»</w:t>
        <w:br/>
        <w:t>к дальнейшему методическому рассмотрению</w:t>
      </w:r>
    </w:p>
    <w:p>
      <w:pPr>
        <w:keepNext w:val="0"/>
        <w:spacing w:before="0" w:after="100" w:line="240" w:lineRule="auto"/>
        <w:ind w:firstLine="709"/>
        <w:jc w:val="both"/>
      </w:pPr>
      <w:r>
        <w:rPr>
          <w:rFonts w:ascii="Times New Roman" w:hAnsi="Times New Roman" w:eastAsia="Times New Roman"/>
          <w:b/>
          <w:sz w:val="24"/>
        </w:rPr>
        <w:t xml:space="preserve">Автор курса: </w:t>
      </w:r>
      <w:r>
        <w:rPr>
          <w:rFonts w:ascii="Times New Roman" w:hAnsi="Times New Roman" w:eastAsia="Times New Roman"/>
          <w:sz w:val="24"/>
        </w:rPr>
        <w:t>К.С. Заурбеков, PhD, ассоциированный профессор, кафедра нефтяной инженерии, Satbayev University.</w:t>
      </w:r>
    </w:p>
    <w:p>
      <w:pPr>
        <w:keepNext w:val="0"/>
        <w:spacing w:before="0" w:after="100" w:line="240" w:lineRule="auto"/>
        <w:ind w:firstLine="709"/>
        <w:jc w:val="both"/>
      </w:pPr>
      <w:r>
        <w:rPr>
          <w:rFonts w:ascii="Times New Roman" w:hAnsi="Times New Roman" w:eastAsia="Times New Roman"/>
          <w:b/>
          <w:sz w:val="24"/>
        </w:rPr>
        <w:t xml:space="preserve">Название МООК: </w:t>
      </w:r>
      <w:r>
        <w:rPr>
          <w:rFonts w:ascii="Times New Roman" w:hAnsi="Times New Roman" w:eastAsia="Times New Roman"/>
          <w:sz w:val="24"/>
        </w:rPr>
        <w:t>Petroleum Data Analytics with Python.</w:t>
      </w:r>
    </w:p>
    <w:p>
      <w:pPr>
        <w:keepNext w:val="0"/>
        <w:spacing w:before="0" w:after="120" w:line="240" w:lineRule="auto"/>
        <w:ind w:firstLine="709"/>
        <w:jc w:val="both"/>
      </w:pPr>
      <w:r>
        <w:rPr>
          <w:rFonts w:ascii="Times New Roman" w:hAnsi="Times New Roman" w:eastAsia="Times New Roman"/>
          <w:sz w:val="24"/>
        </w:rPr>
        <w:t>Рассмотрены программа курса и представленные учебно-методические материалы МООК. Курс ориентирован на формирование у обучающихся практических навыков применения Python для анализа нефтепромысловых данных и принятия обоснованных инженерных решений.</w:t>
      </w:r>
    </w:p>
    <w:p>
      <w:pPr>
        <w:keepNext w:val="0"/>
        <w:spacing w:before="0" w:after="80" w:line="240" w:lineRule="auto"/>
        <w:ind w:firstLine="709"/>
        <w:jc w:val="both"/>
      </w:pPr>
      <w:r>
        <w:rPr>
          <w:rFonts w:ascii="Times New Roman" w:hAnsi="Times New Roman" w:eastAsia="Times New Roman"/>
          <w:b/>
          <w:sz w:val="24"/>
        </w:rPr>
        <w:t>По результатам рассмотрения установлено, что курс:</w:t>
      </w:r>
    </w:p>
    <w:p>
      <w:pPr>
        <w:keepNext w:val="0"/>
        <w:spacing w:before="0" w:after="40" w:line="240" w:lineRule="auto"/>
        <w:ind w:left="283" w:firstLine="0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sz w:val="24"/>
        </w:rPr>
        <w:t>имеет логичную модульную структуру и последовательное усложнение содержания: от основ анализа данных и Python к работе с Pandas/NumPy, визуализации и интегрированному анализу данных нескольких скважин;</w:t>
      </w:r>
    </w:p>
    <w:p>
      <w:pPr>
        <w:keepNext w:val="0"/>
        <w:spacing w:before="0" w:after="40" w:line="240" w:lineRule="auto"/>
        <w:ind w:left="283" w:firstLine="0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sz w:val="24"/>
        </w:rPr>
        <w:t>содержит четко сформулированные результаты обучения, связанные с практическими заданиями, тестированием и инженерной интерпретацией результатов;</w:t>
      </w:r>
    </w:p>
    <w:p>
      <w:pPr>
        <w:keepNext w:val="0"/>
        <w:spacing w:before="0" w:after="40" w:line="240" w:lineRule="auto"/>
        <w:ind w:left="283" w:firstLine="0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sz w:val="24"/>
        </w:rPr>
        <w:t>включает различные форматы учебной активности: короткие видеолекции, демонстрации и live coding, материалы для чтения, формативные задания, суммативное оценивание, обсуждения и практические coding assignments;</w:t>
      </w:r>
    </w:p>
    <w:p>
      <w:pPr>
        <w:keepNext w:val="0"/>
        <w:spacing w:before="0" w:after="40" w:line="240" w:lineRule="auto"/>
        <w:ind w:left="283" w:firstLine="0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sz w:val="24"/>
        </w:rPr>
        <w:t>использует профессиональный нефтегазовый контекст: production data, Water Cut, GOR, pressure/rate data, data quality, multi-well analysis и инженерные рекомендации;</w:t>
      </w:r>
    </w:p>
    <w:p>
      <w:pPr>
        <w:keepNext w:val="0"/>
        <w:spacing w:before="0" w:after="40" w:line="240" w:lineRule="auto"/>
        <w:ind w:left="283" w:firstLine="0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sz w:val="24"/>
        </w:rPr>
        <w:t>имеет прикладную направленность и ориентирован не только на освоение синтаксиса Python, но и на формирование воспроизводимого инженерного workflow и навыков интерпретации данных.</w:t>
      </w:r>
    </w:p>
    <w:p>
      <w:pPr>
        <w:keepNext w:val="0"/>
        <w:spacing w:before="100" w:after="80" w:line="240" w:lineRule="auto"/>
        <w:ind w:firstLine="709"/>
        <w:jc w:val="both"/>
      </w:pPr>
      <w:r>
        <w:rPr>
          <w:rFonts w:ascii="Times New Roman" w:hAnsi="Times New Roman" w:eastAsia="Times New Roman"/>
          <w:b/>
          <w:sz w:val="24"/>
        </w:rPr>
        <w:t xml:space="preserve">Заключение: </w:t>
      </w:r>
      <w:r>
        <w:rPr>
          <w:rFonts w:ascii="Times New Roman" w:hAnsi="Times New Roman" w:eastAsia="Times New Roman"/>
          <w:sz w:val="24"/>
        </w:rPr>
        <w:t>представленный МООК «Petroleum Data Analytics with Python» соответствует профилю подготовки в области нефтяной инженерии, имеет актуальную практико-ориентированную структуру и может быть рекомендован к дальнейшему методическому рассмотрению и согласованию в установленном порядке.</w:t>
      </w:r>
    </w:p>
    <w:p>
      <w:pPr>
        <w:keepNext w:val="0"/>
        <w:spacing w:before="0" w:after="160" w:line="240" w:lineRule="auto"/>
        <w:ind w:firstLine="709"/>
        <w:jc w:val="both"/>
      </w:pPr>
      <w:r>
        <w:rPr>
          <w:rFonts w:ascii="Times New Roman" w:hAnsi="Times New Roman" w:eastAsia="Times New Roman"/>
          <w:b/>
          <w:sz w:val="24"/>
        </w:rPr>
        <w:t>Рекомендуется направить материалы курса на дальнейшее рассмотрение методической командой BMG UpSkill с последующим прохождением предусмотренных процедур согласования.</w:t>
      </w:r>
    </w:p>
    <w:p>
      <w:pPr>
        <w:keepNext w:val="0"/>
        <w:spacing w:before="40" w:after="20" w:line="240" w:lineRule="auto"/>
        <w:ind w:firstLine="0"/>
      </w:pPr>
      <w:r>
        <w:rPr>
          <w:rFonts w:ascii="Times New Roman" w:hAnsi="Times New Roman" w:eastAsia="Times New Roman"/>
          <w:sz w:val="24"/>
        </w:rPr>
        <w:t>Рассмотрено на заседании: ________________________________________________</w:t>
      </w:r>
    </w:p>
    <w:p>
      <w:pPr>
        <w:keepNext w:val="0"/>
        <w:spacing w:before="0" w:after="160" w:line="240" w:lineRule="auto"/>
        <w:ind w:firstLine="0"/>
      </w:pPr>
      <w:r>
        <w:rPr>
          <w:rFonts w:ascii="Times New Roman" w:hAnsi="Times New Roman" w:eastAsia="Times New Roman"/>
          <w:sz w:val="24"/>
        </w:rPr>
        <w:t>Протокол № ______ от «_____» __________________ 2026 г.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43"/>
        <w:gridCol w:w="3343"/>
        <w:gridCol w:w="3343"/>
      </w:tblGrid>
      <w:tr>
        <w:tc>
          <w:tcPr>
            <w:tcW w:type="dxa" w:w="34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firstLine="0"/>
            </w:pPr>
            <w:r>
              <w:t>Заведующий кафедрой</w:t>
            </w:r>
          </w:p>
        </w:tc>
        <w:tc>
          <w:tcPr>
            <w:tcW w:type="dxa" w:w="22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 w:val="0"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sz w:val="22"/>
              </w:rPr>
              <w:t>______________</w:t>
            </w:r>
          </w:p>
        </w:tc>
        <w:tc>
          <w:tcPr>
            <w:tcW w:type="dxa" w:w="34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 w:val="0"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sz w:val="22"/>
              </w:rPr>
              <w:t>____________________________</w:t>
            </w:r>
          </w:p>
        </w:tc>
      </w:tr>
      <w:tr>
        <w:tc>
          <w:tcPr>
            <w:tcW w:type="dxa" w:w="34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firstLine="0"/>
            </w:pPr>
            <w:r>
              <w:t>Секретарь</w:t>
            </w:r>
          </w:p>
        </w:tc>
        <w:tc>
          <w:tcPr>
            <w:tcW w:type="dxa" w:w="22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 w:val="0"/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sz w:val="22"/>
              </w:rPr>
              <w:t>______________</w:t>
            </w:r>
          </w:p>
        </w:tc>
        <w:tc>
          <w:tcPr>
            <w:tcW w:type="dxa" w:w="34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 w:val="0"/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sz w:val="22"/>
              </w:rPr>
              <w:t>____________________________</w:t>
            </w:r>
          </w:p>
        </w:tc>
      </w:tr>
    </w:tbl>
    <w:p>
      <w:pPr>
        <w:keepNext w:val="0"/>
        <w:spacing w:before="120" w:after="0" w:line="240" w:lineRule="auto"/>
        <w:ind w:firstLine="0"/>
      </w:pPr>
      <w:r>
        <w:rPr>
          <w:rFonts w:ascii="Times New Roman" w:hAnsi="Times New Roman" w:eastAsia="Times New Roman"/>
          <w:i/>
          <w:sz w:val="20"/>
        </w:rPr>
        <w:t>М.П. (при наличии)</w:t>
      </w:r>
    </w:p>
    <w:sectPr w:rsidR="00FC693F" w:rsidRPr="0006063C" w:rsidSect="00034616">
      <w:pgSz w:w="12240" w:h="15840"/>
      <w:pgMar w:top="964" w:right="964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