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35AD" w14:textId="6633BFAD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1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</w:t>
      </w:r>
      <w:r w:rsidR="004476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11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Загрязнение атмосферы промышленностью. Очистка пылегазовых выбросов </w:t>
      </w:r>
    </w:p>
    <w:bookmarkEnd w:id="0"/>
    <w:p w14:paraId="3E33F84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в основном состоит из азота (78,08 об. %), кислорода (20,95 об. %), значительно меньшего количе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инертного газа аргона (0,93 об. %) и еще меньшего - углекислого газа (0,03 об. %). Помимо этих постоян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компонентов воздуха, важным компонентом является также водяной пар, содержание которого меняется от 0 об. % в сухом воздухе до 4 об. % во влажном воздухе. Основная масса водяных паров содержится в нижних слоях (до 6 км) атмосферы, в стратосфере они практически отсутствуют.</w:t>
      </w:r>
    </w:p>
    <w:p w14:paraId="6AC7974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имеющиеся в атмосфере газы содержатся лишь в следовых количествах, составляющих в сумме 0,02 об.%. Количество инертных газов (неона, гелия, криптона, ксенона) в воздухе колеблется от тысяч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до миллионных долей процента. В атмосферном воздухе содержится также незначительное количество водорода.</w:t>
      </w:r>
    </w:p>
    <w:p w14:paraId="06025097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Примесями атмосферного воздуха природного происхождения, образующимися в результате химических и биологических процессов, являются такие газообразные вещества как аммиак, оксиды азота, метан, сероводо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 и др. Гниение органических веществ способствует поступлению в воздух сероводорода, аммиака. В резуль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тате брожения углеродистых веществ выделяется метан. Оксиды азота в небольших количествах образуются во время грозы при взаимодействии азота с кислородом.</w:t>
      </w:r>
    </w:p>
    <w:p w14:paraId="21DA5858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Пылевые частицы от промышленных и природных источников также оказываются весьма существенным компонентом воздуха, хотя обычно они присутствуют в относительно небольших количествах. Природными источниками пыли являются действующие вулканы, ветровая эрозия почв, биологические процессы (пыльца растений), лесные пожары, выносы с поверхностей морей и океанов, а также космическая пыль.</w:t>
      </w:r>
    </w:p>
    <w:p w14:paraId="507BF73E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содержатся также микроорганизмы (бактерии, вирусы, плесневые грибки и др.). Патогенные микроорганизмы среди них встречаются редко и в ничтожных количествах.</w:t>
      </w:r>
    </w:p>
    <w:p w14:paraId="3EC8E61B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другие соединения, изменяющие естественный состав атмосферы, попадающие в воздух из различных источников (в основном антропогенного происхождения), классифицируются как загрязнители.</w:t>
      </w:r>
    </w:p>
    <w:p w14:paraId="3C3078D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загрязнения атмосферного воздуха являются:</w:t>
      </w:r>
    </w:p>
    <w:p w14:paraId="2A97D00E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 (производство энергии, чёрная и цветная металлургия, химическая и нефтехимиче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 промышленность, предприятия по производству строительных материалов, горнодобывающая промыш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ленность);</w:t>
      </w:r>
    </w:p>
    <w:p w14:paraId="1D1572AB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транспорт.</w:t>
      </w:r>
    </w:p>
    <w:p w14:paraId="5ADCCBD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источника и механизма образования различают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первичные и вторичные загрязнители воздуха. Первичные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собой химические вещества, попадающие непосредственно в воздух из ста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ционарных или подвижных источников.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Вторичные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образуются в результате взаимодействия в атмосфере пер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вичных загрязнителей между собой и с присутствующими в воздухе веществами (кислород, озон, аммиак, вода) под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действием ультрафиолетового излучения. Часто вторичные загрязнители, например, вещества группы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пероксиацетилнитратов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(ПАН), гораздо токсичнее первичных загрязнителей воздуха. Большая часть присутст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вующих в воздухе твёрдых частиц и аэрозолей является вторичными загрязнителями.</w:t>
      </w:r>
    </w:p>
    <w:p w14:paraId="63848FAE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токсичности и потенциальной опасности загрязнителей, их распространенности и источников эмиссии они были разделены условно на несколько групп:</w:t>
      </w:r>
    </w:p>
    <w:p w14:paraId="6F88F63A" w14:textId="77777777" w:rsidR="00113CBB" w:rsidRPr="00113CBB" w:rsidRDefault="00113CBB" w:rsidP="00113CBB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критериальные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загрязнители атмосферы - оксид углерода, диоксид серы, оксиды азота, углеводороды, твёрдые частицы и фотохимические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оксиданты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5AFE1C" w14:textId="77777777" w:rsidR="00113CBB" w:rsidRPr="00113CBB" w:rsidRDefault="00113CBB" w:rsidP="00113CBB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полициклические ароматические углеводороды (ПАУ);</w:t>
      </w:r>
    </w:p>
    <w:p w14:paraId="61D37FDE" w14:textId="77777777" w:rsidR="00113CBB" w:rsidRPr="00113CBB" w:rsidRDefault="00113CBB" w:rsidP="00113CBB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элементов (в основном металлы);</w:t>
      </w:r>
    </w:p>
    <w:p w14:paraId="09DD3FB1" w14:textId="77777777" w:rsidR="00113CBB" w:rsidRPr="00113CBB" w:rsidRDefault="00113CBB" w:rsidP="00113CBB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(диоксид углерода,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фторхлорметаны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</w:t>
      </w:r>
    </w:p>
    <w:p w14:paraId="07E12D31" w14:textId="77777777" w:rsidR="00113CBB" w:rsidRPr="00113CBB" w:rsidRDefault="00113CBB" w:rsidP="00113CBB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пестициды;</w:t>
      </w:r>
    </w:p>
    <w:p w14:paraId="648F53A4" w14:textId="77777777" w:rsidR="00113CBB" w:rsidRPr="00113CBB" w:rsidRDefault="00113CBB" w:rsidP="00113CBB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абразивные твёрдые частицы (кварц, асбест и др.);</w:t>
      </w:r>
    </w:p>
    <w:p w14:paraId="6988A62C" w14:textId="77777777" w:rsidR="00113CBB" w:rsidRPr="00113CBB" w:rsidRDefault="00113CBB" w:rsidP="00113CBB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разнообразные загрязнители, оказывающие многостороннее действие на организм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нитрозамины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озон, полихлорированные бифенилы (ПХБ), сульфаты, нитраты, альдегиды, кетоны и др.).</w:t>
      </w:r>
    </w:p>
    <w:p w14:paraId="3A5BDFE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Стандарты качества атмосферного воздуха.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сохранения чистоты атмосферы необходим тщательный и действенный контроль степени загрязнения воздуха.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Степень загрязнения атмосферного воздуха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колеблется во времени и пространстве и опреде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следующими факторами:</w:t>
      </w:r>
    </w:p>
    <w:p w14:paraId="71A91BF8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источников эмиссии загрязнителей (тип источника, природа и свойства загрязняющих воздух веществ, объём выброса);</w:t>
      </w:r>
    </w:p>
    <w:p w14:paraId="7FA2F9BE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 метеорологических и топографических факторов (направление и скорость ветра, темпера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турные инверсии, атмосферное давление, влажность воздуха, рельеф местности и расстояние до источника за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грязнения).</w:t>
      </w:r>
    </w:p>
    <w:p w14:paraId="2A53E99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борьбы с загрязнением атмосферного воздуха необходимы стандарты качества воздуха (в нашей стра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- предельно допустимые концентрации ПДК), на базе которых осуществляются все мероприятия по сохра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нению чистоты окружающей среды. Наличие стандартов качества воздуха позволяет направлять усилия по оз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доровлению атмосферного воздуха более рационально, т.е. на мероприятия в тех регионах, где уровень загряз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нений воздуха превышает ПДК.</w:t>
      </w:r>
    </w:p>
    <w:p w14:paraId="7034C0D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санитарной оценки воздушной среды используют следующие виды предельно допустимых концен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траций:</w:t>
      </w:r>
    </w:p>
    <w:p w14:paraId="32D6A510" w14:textId="77777777" w:rsidR="00113CBB" w:rsidRPr="00113CBB" w:rsidRDefault="00113CBB" w:rsidP="00113CB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вредного вещества в воздухе рабочей зоны, выражаемая в 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воздухе рабочей зоны определяют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F87300D" w14:textId="77777777" w:rsidR="00113CBB" w:rsidRPr="00113CBB" w:rsidRDefault="00113CBB" w:rsidP="00113CBB">
      <w:pPr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максимальная разовая концентрация вредного вещества в воздухе рабочей зоны (мг/м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04B4960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среднесменная предельно допустимая концентрация вредного вещества в воздухе рабочей зоны (мг/м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34ABC05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вредного вещества на территории промышленного пред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приятия (обычно принимается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0,3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51BE4FA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 - ориентировочно безопасные уровни воздействия (для химических веществ, на которые ПДК не установлены, должны пересматриваться через каждые два года с учётом накопления данных о здоровье рабо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тающих или заменяться ПДК);</w:t>
      </w:r>
    </w:p>
    <w:p w14:paraId="4A2C50DE" w14:textId="77777777" w:rsidR="00113CBB" w:rsidRPr="00113CBB" w:rsidRDefault="00113CBB" w:rsidP="00113CB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временно допустимая концентрация химического вещества в воздухе рабочей зоны (времен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отраслевой норматив на 2-3 года);</w:t>
      </w:r>
    </w:p>
    <w:p w14:paraId="21272CD7" w14:textId="77777777" w:rsidR="00113CBB" w:rsidRPr="00113CBB" w:rsidRDefault="00113CBB" w:rsidP="00113CBB">
      <w:pPr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ориентировочно допустимая концентрация химического вещества в воздухе рабочей зоны;</w:t>
      </w:r>
    </w:p>
    <w:p w14:paraId="76F005ED" w14:textId="77777777" w:rsidR="00113CBB" w:rsidRPr="00113CBB" w:rsidRDefault="00113CBB" w:rsidP="00113CB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вредного вещества в атмосферном воздухе населённого пункта (в воздухе населённых мест определяют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ПДКмр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ПДКсс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1203C6C" w14:textId="77777777" w:rsidR="00113CBB" w:rsidRPr="00113CBB" w:rsidRDefault="00113CBB" w:rsidP="00113CBB">
      <w:pPr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ПДКмр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максимальная разовая концентрация вредного вещества в воздухе населённых мест (мг/м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CBAE7A7" w14:textId="77777777" w:rsidR="00113CBB" w:rsidRPr="00113CBB" w:rsidRDefault="00113CBB" w:rsidP="00113CB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ПДКсс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среднесуточная предельно допустимая концентрация вредного вещества в воздухе населённых мест (мг/м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55EB94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различный характер воздействия вещества на человека в условиях производства и в населённом месте. При определении воздействия вещества в рабочей зоне находятся практически здоровые, взрослые люди, и время воздействия ограничено протяжённостью рабочего дня и рабо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чим стажем. При определении же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учёту подлежат иные факторы; принимается во внимание, что вещест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 воздействует круглосуточно и в течение всей жизни на всех людей (взрослых и детей, здоровых и больных). Поэтому для одного и того же загрязнителя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десятки и даже сотни раз выше, чем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B549F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Схематично классификация ПДК вредных веществ в воздушной среде показана на рис. 12.</w:t>
      </w:r>
    </w:p>
    <w:p w14:paraId="5F2A3904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Атмосферные загрязнители по классификации вредных веществ по степени токсичности и опасности относятся к четырём классам опасности:</w:t>
      </w:r>
    </w:p>
    <w:p w14:paraId="71DA45D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класс - чрезвычайно опасные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пирен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свинец и его соединения);</w:t>
      </w:r>
    </w:p>
    <w:p w14:paraId="5DB523F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класс -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высокоопасные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93187AF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класс - умеренно опасные (пыль неорганическая, сажа, 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C2F0CF4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класс - малоопасные (бензин, 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410D85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атмосферного воздуха основана на сравнении фактически измеренной концентрации с ПДК.</w:t>
      </w:r>
    </w:p>
    <w:p w14:paraId="55474F9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одновременном присутствии нескольких загрязняющих веществ, обладающих эффектом суммации, их безразмерная концентрация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превышать единицу:</w:t>
      </w:r>
    </w:p>
    <w:p w14:paraId="2BC4A46D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ПДК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/>
                  <w:sz w:val="24"/>
                  <w:szCs w:val="24"/>
                </w:rPr>
                <m:t>≤</m:t>
              </m:r>
              <m:r>
                <w:rPr>
                  <w:rFonts w:ascii="Cambria Math"/>
                  <w:sz w:val="24"/>
                  <w:szCs w:val="24"/>
                </w:rPr>
                <m:t>1</m:t>
              </m:r>
            </m:e>
          </m:nary>
        </m:oMath>
      </m:oMathPara>
    </w:p>
    <w:p w14:paraId="31E4C44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Чем больше кратность превышения ПДК, тем хуже качество воздуха. Чем выше безразмерный показатель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веществ с аддитивными действиями, тем хуже качество воздуха.</w:t>
      </w:r>
    </w:p>
    <w:p w14:paraId="304A0FF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в воздухе имеется, как правило, несколько загрязняющих веществ. Поэтому для оценки каче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воздуха применяется комплексный показатель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индекс загрязнения атмосферы (ИЗА), который равен сумме нормированных по ПДК и приведённых к концентрации диоксида серы средних содержаний загрязняю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веществ.</w:t>
      </w:r>
    </w:p>
    <w:p w14:paraId="24523C9C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одного вещества</w:t>
      </w:r>
    </w:p>
    <w:p w14:paraId="01EBFF0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I</m:t>
          </m:r>
          <m:r>
            <w:rPr>
              <w:rFonts w:asci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ПДК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  <m:r>
                            <w:rPr>
                              <w:rFonts w:ascii="Cambria Math"/>
                              <w:sz w:val="24"/>
                              <w:szCs w:val="24"/>
                              <w:lang w:val="en-US"/>
                            </w:rPr>
                            <m:t>.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  <m:r>
                            <w:rPr>
                              <w:rFonts w:ascii="Cambria Math"/>
                              <w:sz w:val="24"/>
                              <w:szCs w:val="24"/>
                              <w:lang w:val="en-US"/>
                            </w:rPr>
                            <m:t>.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sup>
          </m:sSup>
        </m:oMath>
      </m:oMathPara>
    </w:p>
    <w:p w14:paraId="55A32E3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003AA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113CB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val="en-US" w:eastAsia="ru-RU"/>
        </w:rPr>
        <w:t>c</w:t>
      </w:r>
      <w:r w:rsidRPr="00113CB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за год концентрация, 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среднесуточная ПДК, 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отсутствия вместо неё принимается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ОБУВ;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1,7 (класс опасности 1);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1,3 (класс опасности 2);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= 1,0 (класс опас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3);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= 0,9 (класс опасности 4).</w:t>
      </w:r>
    </w:p>
    <w:p w14:paraId="7D0976E2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2A026FC" wp14:editId="75044D69">
                <wp:extent cx="3537004" cy="2111837"/>
                <wp:effectExtent l="0" t="0" r="6350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7004" cy="2111837"/>
                          <a:chOff x="2411760" y="836712"/>
                          <a:chExt cx="4248537" cy="3005180"/>
                        </a:xfrm>
                      </wpg:grpSpPr>
                      <wps:wsp>
                        <wps:cNvPr id="3" name="TextBox 91"/>
                        <wps:cNvSpPr txBox="1"/>
                        <wps:spPr>
                          <a:xfrm>
                            <a:off x="3419872" y="836712"/>
                            <a:ext cx="2231783" cy="6289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8488C4"/>
                              </a:gs>
                              <a:gs pos="53000">
                                <a:srgbClr val="D4DEFF"/>
                              </a:gs>
                              <a:gs pos="83000">
                                <a:srgbClr val="D4DEFF"/>
                              </a:gs>
                              <a:gs pos="100000">
                                <a:srgbClr val="96AB94"/>
                              </a:gs>
                            </a:gsLst>
                            <a:lin ang="13500000" scaled="0"/>
                          </a:gradFill>
                        </wps:spPr>
                        <wps:txbx>
                          <w:txbxContent>
                            <w:p w14:paraId="411ABA5E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ПДК </w:t>
                              </w:r>
                            </w:p>
                            <w:p w14:paraId="396C807D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вредного вещества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94"/>
                        <wps:cNvSpPr txBox="1"/>
                        <wps:spPr>
                          <a:xfrm>
                            <a:off x="3923928" y="2348880"/>
                            <a:ext cx="1223438" cy="379519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13500000" scaled="0"/>
                          </a:gradFill>
                        </wps:spPr>
                        <wps:txbx>
                          <w:txbxContent>
                            <w:p w14:paraId="57411FB4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ПДК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р.з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TextBox 96"/>
                        <wps:cNvSpPr txBox="1"/>
                        <wps:spPr>
                          <a:xfrm>
                            <a:off x="2411760" y="3212975"/>
                            <a:ext cx="1224201" cy="6289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13500000" scaled="0"/>
                          </a:gradFill>
                        </wps:spPr>
                        <wps:txbx>
                          <w:txbxContent>
                            <w:p w14:paraId="1BC665DF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ПДК </w:t>
                              </w:r>
                            </w:p>
                            <w:p w14:paraId="253EDE2D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м.р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р.з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97"/>
                        <wps:cNvSpPr txBox="1"/>
                        <wps:spPr>
                          <a:xfrm>
                            <a:off x="5436096" y="3212975"/>
                            <a:ext cx="1224201" cy="6289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13500000" scaled="0"/>
                          </a:gradFill>
                        </wps:spPr>
                        <wps:txbx>
                          <w:txbxContent>
                            <w:p w14:paraId="2080D197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Пдк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08F558DD" w14:textId="77777777" w:rsidR="00113CBB" w:rsidRDefault="00113CBB" w:rsidP="00113CB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с.с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р.з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Прямая соединительная линия 7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4535996" y="2037041"/>
                            <a:ext cx="0" cy="311839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>
                          <a:stCxn id="4" idx="2"/>
                        </wps:cNvCnPr>
                        <wps:spPr>
                          <a:xfrm>
                            <a:off x="4535996" y="2995211"/>
                            <a:ext cx="1548172" cy="169564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>
                          <a:stCxn id="4" idx="2"/>
                        </wps:cNvCnPr>
                        <wps:spPr>
                          <a:xfrm flipH="1">
                            <a:off x="2987824" y="2995211"/>
                            <a:ext cx="1548172" cy="169564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78.5pt;height:166.3pt;mso-position-horizontal-relative:char;mso-position-vertical-relative:line" coordorigin="24117,8367" coordsize="42485,30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27" type="#_x0000_t202" style="position:absolute;left:34198;top:8367;width:22318;height: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wesUA&#10;AADaAAAADwAAAGRycy9kb3ducmV2LnhtbESPQWvCQBSE7wX/w/IEb3WjhdimrtIWlCIeNK3S3h7Z&#10;1ySYfRt2tyb+e1co9DjMzDfMfNmbRpzJ+dqygsk4AUFcWF1zqeDzY3X/CMIHZI2NZVJwIQ/LxeBu&#10;jpm2He/pnIdSRAj7DBVUIbSZlL6oyKAf25Y4ej/WGQxRulJqh12Em0ZOkySVBmuOCxW29FZRccp/&#10;jQInv9fdbpqWx/x1tvvabg7bp3Sl1GjYvzyDCNSH//Bf+10reIDblX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XB6xQAAANoAAAAPAAAAAAAAAAAAAAAAAJgCAABkcnMv&#10;ZG93bnJldi54bWxQSwUGAAAAAAQABAD1AAAAigMAAAAA&#10;" fillcolor="#8488c4" stroked="f">
                  <v:fill color2="#96ab94" angle="225" colors="0 #8488c4;34734f #d4deff;54395f #d4deff;1 #96ab94" focus="100%" type="gradient">
                    <o:fill v:ext="view" type="gradientUnscaled"/>
                  </v:fill>
                  <v:textbox style="mso-fit-shape-to-text:t">
                    <w:txbxContent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ПДК </w:t>
                        </w:r>
                      </w:p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вредного вещества</w:t>
                        </w:r>
                      </w:p>
                    </w:txbxContent>
                  </v:textbox>
                </v:shape>
                <v:shape id="TextBox 94" o:spid="_x0000_s1028" type="#_x0000_t202" style="position:absolute;left:39239;top:23488;width:12234;height:3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h9cAA&#10;AADaAAAADwAAAGRycy9kb3ducmV2LnhtbESPQYvCMBSE74L/ITzBm6arritdUxFR8GrVg7dH87Yt&#10;bV5KE7X6640g7HGYmW+Y5aoztbhR60rLCr7GEQjizOqScwWn4260AOE8ssbaMil4kINV0u8tMdb2&#10;zge6pT4XAcIuRgWF900spcsKMujGtiEO3p9tDfog21zqFu8Bbmo5iaK5NFhyWCiwoU1BWZVejYKo&#10;Lp8PjduF4cu0Ss/fdPyZX5UaDrr1LwhPnf8Pf9p7rWAG7yvhBsj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Ph9cAAAADaAAAADwAAAAAAAAAAAAAAAACYAgAAZHJzL2Rvd25y&#10;ZXYueG1sUEsFBgAAAAAEAAQA9QAAAIUDAAAAAA==&#10;" fillcolor="#5e9eff" stroked="f">
                  <v:fill color2="#ffebfa" angle="225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ПДК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р.з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96" o:spid="_x0000_s1029" type="#_x0000_t202" style="position:absolute;left:24117;top:32129;width:12242;height: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ZvW8EA&#10;AADaAAAADwAAAGRycy9kb3ducmV2LnhtbESPzYrCQBCE74LvMLTgTScurkh0FJFVlmUR/HmAJtMm&#10;wUxPzLQa335nQfBYVNVX1HzZukrdqQmlZwOjYQKKOPO25NzA6bgZTEEFQbZYeSYDTwqwXHQ7c0yt&#10;f/Ce7gfJVYRwSNFAIVKnWoesIIdh6Gvi6J1941CibHJtG3xEuKv0R5JMtMOS40KBNa0Lyi6HmzPw&#10;uynX+inZdfyz+8Kdm0jYnqwx/V67moESauUdfrW/rYFP+L8Sb4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Wb1vBAAAA2gAAAA8AAAAAAAAAAAAAAAAAmAIAAGRycy9kb3du&#10;cmV2LnhtbFBLBQYAAAAABAAEAPUAAACGAwAAAAA=&#10;" fillcolor="#ffefd1" stroked="f">
                  <v:fill color2="#d1c39f" angle="225" colors="0 #ffefd1;42598f #f0ebd5;1 #d1c39f" focus="100%" type="gradient">
                    <o:fill v:ext="view" type="gradientUnscaled"/>
                  </v:fill>
                  <v:textbox style="mso-fit-shape-to-text:t">
                    <w:txbxContent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ПДК </w:t>
                        </w:r>
                      </w:p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м.р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р.з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97" o:spid="_x0000_s1030" type="#_x0000_t202" style="position:absolute;left:54360;top:32129;width:12242;height: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xLMAA&#10;AADaAAAADwAAAGRycy9kb3ducmV2LnhtbESPUWvCQBCE3wX/w7FC3/SilFBSTxFRESlCrT9gya1J&#10;MLcXc6vGf+8VBB+HmfmGmc47V6sbtaHybGA8SkAR595WXBg4/q2HX6CCIFusPZOBBwWYz/q9KWbW&#10;3/mXbgcpVIRwyNBAKdJkWoe8JIdh5Bvi6J1861CibAttW7xHuKv1JElS7bDiuFBiQ8uS8vPh6gz8&#10;rKulfkh++dztV7h3qYTN0RrzMegW36CEOnmHX+2tNZDC/5V4A/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TxLMAAAADaAAAADwAAAAAAAAAAAAAAAACYAgAAZHJzL2Rvd25y&#10;ZXYueG1sUEsFBgAAAAAEAAQA9QAAAIUDAAAAAA==&#10;" fillcolor="#ffefd1" stroked="f">
                  <v:fill color2="#d1c39f" angle="225" colors="0 #ffefd1;42598f #f0ebd5;1 #d1c39f" focus="100%" type="gradient">
                    <o:fill v:ext="view" type="gradientUnscaled"/>
                  </v:fill>
                  <v:textbox style="mso-fit-shape-to-text:t">
                    <w:txbxContent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Пдк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113CBB" w:rsidRDefault="00113CBB" w:rsidP="00113CB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с.с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р.з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line id="Прямая соединительная линия 7" o:spid="_x0000_s1031" style="position:absolute;visibility:visible;mso-wrap-style:square" from="45359,20370" to="45359,23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FNLcQAAADaAAAADwAAAGRycy9kb3ducmV2LnhtbESPT2vCQBTE7wW/w/KEXorutodUohsR&#10;oWBpL42i10f2mT9m38bs1qTfvlsoeBxm5jfMaj3aVtyo97VjDc9zBYK4cKbmUsNh/zZbgPAB2WDr&#10;mDT8kId1NnlYYWrcwF90y0MpIoR9ihqqELpUSl9UZNHPXUccvbPrLYYo+1KaHocIt618USqRFmuO&#10;CxV2tK2ouOTfVkP59E7yI9klzb4ZTtd8q/LPo9L6cTpuliACjeEe/m/vjIZX+LsSb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wU0txAAAANoAAAAPAAAAAAAAAAAA&#10;AAAAAKECAABkcnMvZG93bnJldi54bWxQSwUGAAAAAAQABAD5AAAAkgMAAAAA&#10;" strokecolor="#5b9bd5 [3204]" strokeweight="1.75pt">
                  <v:stroke joinstyle="miter"/>
                </v:line>
                <v:line id="Прямая соединительная линия 8" o:spid="_x0000_s1032" style="position:absolute;visibility:visible;mso-wrap-style:square" from="45359,29952" to="60841,31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7ZX78AAADaAAAADwAAAGRycy9kb3ducmV2LnhtbERPTYvCMBC9L/gfwgh7WTRZD0WqUUQQ&#10;FPdiFb0OzdhWm0m3ibb77zcHwePjfc+Xva3Fk1pfOdbwPVYgiHNnKi40nI6b0RSED8gGa8ek4Y88&#10;LBeDjzmmxnV8oGcWChFD2KeooQyhSaX0eUkW/dg1xJG7utZiiLAtpGmxi+G2lhOlEmmx4thQYkPr&#10;kvJ79rAaiq8dyX2yTW7HW3f5zdYq+zkrrT+H/WoGIlAf3uKXe2s0xK3xSr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17ZX78AAADaAAAADwAAAAAAAAAAAAAAAACh&#10;AgAAZHJzL2Rvd25yZXYueG1sUEsFBgAAAAAEAAQA+QAAAI0DAAAAAA==&#10;" strokecolor="#5b9bd5 [3204]" strokeweight="1.75pt">
                  <v:stroke joinstyle="miter"/>
                </v:line>
                <v:line id="Прямая соединительная линия 9" o:spid="_x0000_s1033" style="position:absolute;flip:x;visibility:visible;mso-wrap-style:square" from="29878,29952" to="45359,31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n8sMIAAADaAAAADwAAAGRycy9kb3ducmV2LnhtbESPQWuDQBSE74X+h+UVeqtrSinRZhNC&#10;ghB6StWQ66v7ohL3rbhbtf8+WyjkOMzMN8xqM5tOjDS41rKCRRSDIK6sbrlWUBbZyxKE88gaO8uk&#10;4JccbNaPDytMtZ34i8bc1yJA2KWooPG+T6V0VUMGXWR74uBd7GDQBznUUg84Bbjp5Gscv0uDLYeF&#10;BnvaNVRd8x+j4JgVb2b8ptJlnzyf9qzPhzJR6vlp3n6A8DT7e/i/fdAKEvi7Em6AX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n8sMIAAADaAAAADwAAAAAAAAAAAAAA&#10;AAChAgAAZHJzL2Rvd25yZXYueG1sUEsFBgAAAAAEAAQA+QAAAJADAAAAAA==&#10;" strokecolor="#5b9bd5 [3204]" strokeweight="1.75pt">
                  <v:stroke joinstyle="miter"/>
                </v:line>
                <w10:anchorlock/>
              </v:group>
            </w:pict>
          </mc:Fallback>
        </mc:AlternateContent>
      </w:r>
    </w:p>
    <w:p w14:paraId="6F22AC1E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1EA0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12. Классификация ПДК вредных веществ в воздухе</w:t>
      </w:r>
    </w:p>
    <w:p w14:paraId="35EB83AE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1028"/>
      </w:tblGrid>
      <w:tr w:rsidR="00113CBB" w:rsidRPr="00113CBB" w14:paraId="01764500" w14:textId="77777777" w:rsidTr="00902BFE">
        <w:trPr>
          <w:jc w:val="center"/>
        </w:trPr>
        <w:tc>
          <w:tcPr>
            <w:tcW w:w="5034" w:type="dxa"/>
          </w:tcPr>
          <w:p w14:paraId="27277717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экологического загрязнения атмосферы</w:t>
            </w:r>
          </w:p>
        </w:tc>
        <w:tc>
          <w:tcPr>
            <w:tcW w:w="1028" w:type="dxa"/>
          </w:tcPr>
          <w:p w14:paraId="30106EC5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113CBB" w:rsidRPr="00113CBB" w14:paraId="42A595BA" w14:textId="77777777" w:rsidTr="00902BFE">
        <w:trPr>
          <w:jc w:val="center"/>
        </w:trPr>
        <w:tc>
          <w:tcPr>
            <w:tcW w:w="5034" w:type="dxa"/>
          </w:tcPr>
          <w:p w14:paraId="3141C4C7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028" w:type="dxa"/>
          </w:tcPr>
          <w:p w14:paraId="4326CD7A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</w:t>
            </w:r>
          </w:p>
        </w:tc>
      </w:tr>
      <w:tr w:rsidR="00113CBB" w:rsidRPr="00113CBB" w14:paraId="5B72C9A5" w14:textId="77777777" w:rsidTr="00902BFE">
        <w:trPr>
          <w:jc w:val="center"/>
        </w:trPr>
        <w:tc>
          <w:tcPr>
            <w:tcW w:w="5034" w:type="dxa"/>
          </w:tcPr>
          <w:p w14:paraId="656DDEFA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1028" w:type="dxa"/>
          </w:tcPr>
          <w:p w14:paraId="431017ED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5-8</w:t>
            </w:r>
          </w:p>
        </w:tc>
      </w:tr>
      <w:tr w:rsidR="00113CBB" w:rsidRPr="00113CBB" w14:paraId="4D303581" w14:textId="77777777" w:rsidTr="00902BFE">
        <w:trPr>
          <w:jc w:val="center"/>
        </w:trPr>
        <w:tc>
          <w:tcPr>
            <w:tcW w:w="5034" w:type="dxa"/>
          </w:tcPr>
          <w:p w14:paraId="5DAEA405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</w:t>
            </w:r>
          </w:p>
        </w:tc>
        <w:tc>
          <w:tcPr>
            <w:tcW w:w="1028" w:type="dxa"/>
          </w:tcPr>
          <w:p w14:paraId="0FD72EEF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8-15</w:t>
            </w:r>
          </w:p>
        </w:tc>
      </w:tr>
      <w:tr w:rsidR="00113CBB" w:rsidRPr="00113CBB" w14:paraId="5C0D7A20" w14:textId="77777777" w:rsidTr="00902BFE">
        <w:trPr>
          <w:jc w:val="center"/>
        </w:trPr>
        <w:tc>
          <w:tcPr>
            <w:tcW w:w="5034" w:type="dxa"/>
          </w:tcPr>
          <w:p w14:paraId="4D8175EC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Бедствие </w:t>
            </w:r>
          </w:p>
        </w:tc>
        <w:tc>
          <w:tcPr>
            <w:tcW w:w="1028" w:type="dxa"/>
          </w:tcPr>
          <w:p w14:paraId="7A95B353" w14:textId="77777777" w:rsidR="00113CBB" w:rsidRPr="00113CBB" w:rsidRDefault="00113CBB" w:rsidP="00113CBB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Pr="00113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</w:tbl>
    <w:p w14:paraId="0C130AF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7C047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13. Шкала экологического состояния атмосферы</w:t>
      </w:r>
    </w:p>
    <w:p w14:paraId="45B83FE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77DA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нескольких веществ</w:t>
      </w:r>
    </w:p>
    <w:p w14:paraId="2B1BF3CA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I</m:t>
          </m:r>
          <m:r>
            <w:rPr>
              <w:rFonts w:ascii="Cambria Math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</w:rPr>
                                    <m:t>ПДК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с</m:t>
                                  </m:r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.</m:t>
                                  </m:r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с</m:t>
                                  </m:r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.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</m:e>
          </m:nary>
        </m:oMath>
      </m:oMathPara>
    </w:p>
    <w:p w14:paraId="6A6465D8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 экологического состояния атмосферы определяют по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четырёхбальной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шкале (рис. 13), где класс нормы соответствует уровню загрязнения ниже среднего по шкале, класс риска равен среднему уровню, класс кризиса выше среднего уровня. Ранжирование экологического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состояния атмосферы по классам осуществляет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через расчёт комплексного индекса загрязнения атмосферы.</w:t>
      </w:r>
    </w:p>
    <w:p w14:paraId="28A40B07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осуществляется постоянный санитарный контроль за соблюдением ПДК токсичных ве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 в воздухе рабочей зоны и атмосфере и предельно допустимых выбросов (ПДВ) промышленных предпри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ятий, проводимые химиками санитарно-эпидемиологических станций (СЭС) и санитарно-гигиенических лабо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раторий промышленных предприятий.</w:t>
      </w:r>
    </w:p>
    <w:p w14:paraId="3847D32D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наблюдений за уровнем загрязнения атмосферы. Отбор проб воздуха.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уровнем загрязнения атмосферы осуществляется на постах. Постом наблюдения является выбранное место (точка местности), на котором размещают павильон или автомобиль, оборудованные соответ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ствующими приборами.</w:t>
      </w:r>
    </w:p>
    <w:p w14:paraId="367D31B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посты наблюдений трёх категорий: стационарные, маршрутные, передвижные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подфакельные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Стационарный пост предназначен для обеспечения непрерывной регистрации содержания загряз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няющих веществ или регулярного отбора проб воздуха для последующего анализа.</w:t>
      </w:r>
    </w:p>
    <w:p w14:paraId="7BE87D62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Маршрутный пост предназначен для регулярного отбора проб воздуха, когда невозможно установить ста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ционарный пост или необходимо более детально изучить состояние загрязнения воздуха в отдельных районах, например в новых жилых районах.</w:t>
      </w:r>
    </w:p>
    <w:p w14:paraId="211F253F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Передвижной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подфакельный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 предназначен для отбора проб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поддымовым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(газовым) факелом с це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лью выявления зоны влияния данного источника промышленных выбросов.</w:t>
      </w:r>
    </w:p>
    <w:p w14:paraId="42E4931D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постов и их размещение определяется с учётом численности населения, площади населённого пунк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 и рельефа местности, а также развития промышленности, сети магистралей с интенсивным транспортным движением и их расположением по территории города,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рассредаточенности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отдыха и курортных зон.</w:t>
      </w:r>
    </w:p>
    <w:p w14:paraId="55ECA65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отбором проб воздуха определяют следующие метеорологические параметры: направле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скорость ветра, температуру воздуха, состояние погоды и подстилающей поверхности.</w:t>
      </w:r>
    </w:p>
    <w:p w14:paraId="72B6132C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веществ для измерения на стационарных, маршрутных постах и при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подфакельных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наблюдениях устанавливается на основе сведений о составе и характере выбросов от источника загрязнения в городе и ме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теорологических условий рассеивания примесей. Определяются вещества, которые выбрасываются предпри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ятиями города, и оценивается возможность превышения ПДК этих веществ. В результате составляется список приоритетных веществ, подлежащих контролю в первую очередь. Как правило, на опорных стационарных по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стах организуются наблюдения за содержанием основных загрязняющих веществ: пыли, диоксида серы, оксида углерода, оксида и диоксида азота, а также за специфическими веществами, которые характерны для промыш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ленных выбросов многих предприятий данного города (населённого пункта).</w:t>
      </w:r>
    </w:p>
    <w:p w14:paraId="4E0A685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определении приземной концентрации примеси в атмосфере отбор проб и измерение концентрации примеси проводятся на высоте 1,5...3,5 м от поверхности земли. Продолжительность отбора проб воздуха для определения среднесуточных концентраций загрязняющих веществ при дискретных наблюдениях по полной программе составляет </w:t>
      </w:r>
      <w:r w:rsidRPr="00113CB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20.30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мин, при непрерывном отборе - 24 ч. Продолжительность метеорологических наблюдений составляет 10 мин.</w:t>
      </w:r>
    </w:p>
    <w:p w14:paraId="00516DB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этапом санитарно-химических исследований воздушной среды рабочей зоны является от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 пробы воздуха для определения содержания микропримесей токсичных соединений. Результаты самого точного и тщательно выполненного анализа теряют смысл в случае неправильной подготовки к отбору пробы и неверного его выполнения. Поэтому при разработке методов контроля этому этапу уделяют большое внимание. Общие санитарно-гигиенические требования к воздуху рабочей зоны предприятий народного хозяйства изло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жены в соответствии с техническим регламентом. Технический регламент устанавливает общие санитарно-гигиенические требования к показателям микроклимата и допустимому содержанию вредных веществ в воздухе рабочей зоны. Содержа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вредных веществ в воздухе рабочей зоны подлежит систематическому контролю для предупреждения воз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можности превышения предельно допустимых концентраций - максимально разовых рабочей зоны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ПДКмр.рз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среднесменных рабочей зоны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EA70A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 воздуха следует отбирать на местах постоянного и временного пребывания работающих, при ха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рактерных производственных условиях с учётом особенностей технологического процесса (непрерывный, пе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риодический), температурного режима, количества выделяющихся химических веществ; физико-химических свойств контролируемых веществ, их агрегатного состояния в воздухе, летучести, давления паров и возможно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их превращения (окисление, гидролиз, деструкция и др.); температуры и влажности окружающей среды; класса опасности и биологического действия химического соединения.</w:t>
      </w:r>
    </w:p>
    <w:p w14:paraId="12F07D7B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воздухе нескольких химических веществ или сложных многокомпонентных смесей неиз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вестного состава необходимо предварительно провести идентификацию смесей и определить приоритетные - наиболее опасные и характерные компоненты, на которые следует ориентироваться при оценке состояния воз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душной среды.</w:t>
      </w:r>
    </w:p>
    <w:p w14:paraId="2F0A8C22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одновременном содержании в воздухе рабочей зоны нескольких вредных веществ однонаправленного действия сумма отношений фактических концентраций каждого из них в воздухе к их ПДК не должна превы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шать единицы.</w:t>
      </w:r>
    </w:p>
    <w:p w14:paraId="42AED3E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Контроль за соблюдением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ОБУВ проводят при непрерывном или последовательном отборе в течение 15 мин в любой точке рабочей зоны при условии достижения предела обнаружения определяемого ве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щества. Если предел обнаружения метода анализа даёт возможность в течение 15 мин отобрать не одну, а не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сколько проб воздуха, то нужно определить среднее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значение из результатов отобранных проб за указанный период времени. Если данным методом невозможно обнаружить вещество на уровне 0,5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15 мин, до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пускается увеличение продолжительности отбора проб до 30 мин.</w:t>
      </w:r>
    </w:p>
    <w:p w14:paraId="480375A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стадия технологического процесса настолько коротка, что нельзя отобрать в одну пробу необходимое для анализа количество вещества, то отбор проб в эту же концентрационную трубку (фильтр) или поглотитель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прибор необходимо продолжить при повторении операции.</w:t>
      </w:r>
    </w:p>
    <w:p w14:paraId="47C50E09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санитарно-гигиенических исследованиях производственной атмосферы с длительными стадиями тех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нологического процесса отбор проб необходимо проводить с учётом начала, середины и конца процесса, а так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 с учётом продолжительности выделения наибольшего количества токсичных веществ.</w:t>
      </w:r>
    </w:p>
    <w:p w14:paraId="6DB859F7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достоверных результатов при санитарно-химических исследованиях воздушной среды в любой точке на каждой стадии технологического процесса или отдельной операции должно быть последова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 отобрано не менее пяти проб воздуха. Вычисляют среднее арифметическое значение (концентрация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с,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доверительный интервал (е, %):</w:t>
      </w:r>
    </w:p>
    <w:p w14:paraId="54604BBF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</m:t>
          </m:r>
          <m: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5</m:t>
          </m:r>
        </m:oMath>
      </m:oMathPara>
    </w:p>
    <w:p w14:paraId="0D46B15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ε</m:t>
          </m:r>
          <m:r>
            <w:rPr>
              <w:rFonts w:ascii="Cambria Math"/>
              <w:sz w:val="28"/>
              <w:szCs w:val="28"/>
              <w:lang w:val="en-US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)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75</m:t>
          </m:r>
          <m:r>
            <w:rPr>
              <w:rFonts w:ascii="Cambria Math"/>
              <w:sz w:val="28"/>
              <w:szCs w:val="28"/>
              <w:lang w:val="kk-KZ"/>
            </w:rPr>
            <m:t>/</m:t>
          </m:r>
          <m:r>
            <w:rPr>
              <w:rFonts w:ascii="Cambria Math"/>
              <w:sz w:val="28"/>
              <w:szCs w:val="28"/>
              <w:lang w:val="kk-KZ"/>
            </w:rPr>
            <m:t>с</m:t>
          </m:r>
        </m:oMath>
      </m:oMathPara>
    </w:p>
    <w:p w14:paraId="6C0DE6A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концентрация в отдельных пробах;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ах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максимальная концентрация в отобранных пробах;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min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-минимальная концентрация в отобранных пробах.</w:t>
      </w:r>
    </w:p>
    <w:p w14:paraId="6C55F678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полученное значение доверительного интервала равно или меньше 25%, то значение средней ариф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метической считается достоверным. Если вычисленный доверительный интервал превышает 25%, должны быть отобраны дополнительные пробы.</w:t>
      </w:r>
    </w:p>
    <w:p w14:paraId="38DD5227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Полученный результат сравнивают с величинами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мр.рз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приведенными в ГОСТ 12.1.005-88 «Общие са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нитарно-гигиенические требования к воздуху рабочей зоны», ГН 2.2.5.1313-03 «Предельно допустимые кон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центрации (ПДК) вредных веществ в воздухе рабочей зоны», ГН 2.2.5.1314-03 «Ориентировочные безопасные уровни воздействия (ОБУВ) вредных веществ в воздухе рабочей зоны».</w:t>
      </w:r>
    </w:p>
    <w:p w14:paraId="1DA5860D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Выбор мест отбора проб воздуха.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новых или ранее неизученных в гигиеническом плане производствах, воздушная среда, которая может загрязняться токсическими веществами, санитарный контроль следует прово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преимущественно на всех рабочих местах с постоянным и временным пребыванием работающих.</w:t>
      </w:r>
    </w:p>
    <w:p w14:paraId="7214591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 по исследованию загрязненности воздуха рабочей зоны в комплексе с данными по оценке технологического процесса, оборудования, вентиляционных устройств определяют наиболее неблаго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приятные в санитарно-гигиеническом отношении рабочие места, на которых в дальнейшем отбирают пробы воздуха.</w:t>
      </w:r>
    </w:p>
    <w:p w14:paraId="11A9D1CC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Санитарный контроль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загрязнений воздушной среды осуществляют выборочно на отдельных рабочих местах, стадиях или операциях, если на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обследуемом участке, характеризующемся постоянством технологиче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процесса, достаточно идентичное оборудование или одинаковые рабочие места, на которых выполняют одни и те же операции. При этом отбор проб следует проводить на рабочих местах, расположенных в центре и по периферии помещения или на открытой площадке с оборудованием. При выборе точек отбора проб основ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внимание следует уделять рабочим местам по основным профессиям.</w:t>
      </w:r>
    </w:p>
    <w:p w14:paraId="3AE232E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 отбирают с учётом технологических операций, при которых возможно наибольшее выделение в воздух рабочей зоны вредных веществ, например: у аппаратуры и агрегатов в период наиболее активных хими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 термических процессов (электрохимических, пиролитических и др.); на участках загрузки и выгрузки веществ, затаривания продукции; на участках транспортировки, размола и сушки сыпучих, пылящих материа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лов; в местах наиболее вероятных источников выделения при перекачке жидкостей и газов (насосные, компрес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сорные) и др.; в местах отбора технологических проб, необходимых для анализа; на участках, плохо вентили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руемых, необходимо проводить санитарно-химический анализ воздуха рабочей зоны на основных местах пре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бывания работающих в период проведения планового ремонта технологического, санитарно-технического и другого оборудования, если эти операции могут сопровождаться выделением вредных веществ, в период ре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конструкции, если при этом часть оборудования продолжает эксплуатироваться.</w:t>
      </w:r>
    </w:p>
    <w:p w14:paraId="12C6F5A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Периодичность отбора проб воздуха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вещества в каждой точке устанавливают в зависимости от характера технологического процесса (непрерывного, периодического), класса опасности и характера биоло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гического действия производственной среды, уровня загрязнения, времени пребывания обслуживающего пер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сонала на рабочем месте.</w:t>
      </w:r>
    </w:p>
    <w:p w14:paraId="75CAAA35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возможном поступлении в воздух рабочей зоны производственных помещений вредных веществ с остронаправленным механизмом действия пробы следует отбирать с применением систем автоматических при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боров. При отсутствии приборов непрерывного контроля при согласовании с органами санитарного надзора до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пускается в качестве временной меры периодический отбор проб воздуха для определения вещества с острона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правленным механизмом действия. Для остальных веществ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периодичность контроля следует устанавливать в зависимости от класса опасности вредного вещества: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веществ I класса опасности - не реже одного раза в 10 дней; для веществ II класса - не реже одного раза в месяц; для веществ III и IV классов - не реже одного раза в квартал.</w:t>
      </w:r>
    </w:p>
    <w:p w14:paraId="7AF0A956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конкретных условий производства периодичность контроля может быть изменена по со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гласованию с санитарно-эпидемиологической службой.</w:t>
      </w:r>
    </w:p>
    <w:p w14:paraId="7D9D52A2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Контроль за соблюдением среднесменных концентраций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для веществ, которые имеют соот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ветствующий норматив -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ПДКсс.рз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характеристики уровня среднесменных концентраций, воздействующих на рабочих одной профессиональной группы, необходимо провести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обследование не менее пяти человеко-смен. Среднесменную концентрацию в зоне дыхания работающих измеряют приборами индивидуального контроля при непрерывном или последовательном отборе проб воздуха в течение всей смены или не менее 75 % её про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должительности.</w:t>
      </w:r>
    </w:p>
    <w:p w14:paraId="1777FD9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отбора одной пробы и число проб за смену зависят от методики и концентрации ток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сического вещества в воздухе. В некоторых случаях среднесменную концентрацию </w:t>
      </w:r>
      <w:proofErr w:type="spellStart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т</w:t>
      </w:r>
      <w:proofErr w:type="spellEnd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(мг/м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вычисляют по результатам разовых измерений на отдельных местах пребывания рабочих с учётом хронометражных данных и рассчитывают по формуле:</w:t>
      </w:r>
    </w:p>
    <w:p w14:paraId="7147B974" w14:textId="77777777" w:rsidR="00113CBB" w:rsidRPr="00113CBB" w:rsidRDefault="000E5A95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…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</w:rPr>
            <m:t>/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</m:oMath>
      </m:oMathPara>
    </w:p>
    <w:p w14:paraId="67A29B2A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п</w:t>
      </w:r>
      <w:proofErr w:type="spellEnd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среднеарифметические значения разовых измерений концентраций вредных веществ на отдель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стадиях технологического процесса, 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113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en-US" w:eastAsia="ru-RU"/>
        </w:rPr>
        <w:t>n</w:t>
      </w:r>
      <w:proofErr w:type="spellEnd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отдельных стадий технологиче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процесса, мин.</w:t>
      </w:r>
    </w:p>
    <w:p w14:paraId="6427763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измерения среднесменных концентраций химических веществ разработано новое устройство - пассивный дозиметр.</w:t>
      </w:r>
    </w:p>
    <w:p w14:paraId="58EE3122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Выбор способа отбора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определяется природой анализируемых веществ, наличием сопутствующих примесей и другими факторами. Для обоснованного выбора способа отбора проб необходимо иметь чёткое представление о возможных формах нахождения токсических примесей в воздухе. Микропримеси вредных ве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ществ в воздухе могут находиться в виде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газов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(аммиак, дивинил, озон и др.), в виде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паров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преимущественно вещества, представляющие собой жидкость с температурой кипения до 230 - 250 °С (ароматические хлориро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ванные и алифатические углеводороды, низшие ациклические спирты, кислоты и др.), а также некоторые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твёр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дые вещества,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обладающие высокой летучестью (йод, нафталин, фенол). Иногда вещества могут находиться в воздухе одновременно в виде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паров и аэрозолей.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преимущественно жидкости с высокой температурой ки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пения (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дибутилфталат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диметилтерефталат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капролактам и др.). Попадая в воздух, их пары конденсируются с образованием аэрозоля конденсации.</w:t>
      </w:r>
    </w:p>
    <w:p w14:paraId="44DFBE71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Аэрозоли конденсации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образуются также при некоторых химических реакциях, приводящих к появлению новых жидких или твёрдых фаз. Например, при взаимодействии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триоксида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 (серного ангидрида) с влагой образуется туман серной кислоты; тетрахлорид титана с влагой воздуха образует туман диоксида титана; амми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ак и хлороводород образуют туман хлорида аммония. Конденсационное происхождение имеют также аэрозоли, образующиеся при сварочных работах и других высокотемпературных процессах, сопровождающихся расплав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лением и испарением металлов. Например, свинец, поступающий в воздушную среду в виде паров при нагреве свинца и его сплавов до температуры выше 400 °С, в воздухе рабочей зоны находится в виде аэрозоля конден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сации.</w:t>
      </w:r>
    </w:p>
    <w:p w14:paraId="5699CDC4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аэрозолями конденсации в различных производственных процессах (например, при механиче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измельчении твёрдых веществ и распылении жидкостей) образуются аэрозоли дезинтеграции с более гру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бой дисперсностью. Причём при значительной летучести дисперсной фазы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аэрозоля возможно одновременное присутствие аэрозоля и паров (пульверизационная окраска изделий).</w:t>
      </w:r>
    </w:p>
    <w:p w14:paraId="6577B470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установление агрегатного состояния вредного вещества в воздухе способствует правильному выбору фильтров и сорбентов и уменьшению погрешности определения, связанной с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пробоотбором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521D88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санитарно-химических исследований на производстве пробы воздуха отбирают преиму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щественно аспирационным способом путём пропускания исследуемого воздуха через поглотительную систему (жидкая поглотительная среда, твёрдые сорбенты или фильтрующие материалы). Минимальная концентрация вещества, поддающаяся чёткому и надёжному определению, зависит от количества отбираемого воздуха. Ас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пирация излишних объёмов воздуха приводит к неоправданным потерям рабочего времени, при недостаточном объёме воздуха снижается точность анализа, а иногда вообще оказывается невозможным проведение количест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венных определений.</w:t>
      </w:r>
    </w:p>
    <w:p w14:paraId="3543B303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объём воздуха V, необходимый для определения токсической примеси с заданной точно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стью, можно рассчитать по следующей формуле:</w:t>
      </w:r>
    </w:p>
    <w:p w14:paraId="0137544F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w:rPr>
              <w:rFonts w:asci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ПДК</m:t>
              </m:r>
            </m:sub>
          </m:sSub>
        </m:oMath>
      </m:oMathPara>
    </w:p>
    <w:p w14:paraId="42AA027C" w14:textId="77777777" w:rsidR="00113CBB" w:rsidRPr="00113CBB" w:rsidRDefault="00113CBB" w:rsidP="0011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нижний предел обнаружения в анализируемом объёме пробы, мкг; </w:t>
      </w:r>
      <w:r w:rsidRPr="00113CBB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</w:t>
      </w:r>
      <w:r w:rsidRPr="00113CBB">
        <w:rPr>
          <w:rFonts w:ascii="Times New Roman" w:eastAsia="Times New Roman" w:hAnsi="Times New Roman" w:cs="Times New Roman"/>
          <w:spacing w:val="-20"/>
          <w:sz w:val="28"/>
          <w:szCs w:val="28"/>
          <w:vertAlign w:val="subscript"/>
          <w:lang w:eastAsia="ru-RU"/>
        </w:rPr>
        <w:t>0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объём пробы, см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en-US" w:eastAsia="ru-RU"/>
        </w:rPr>
        <w:t>n</w:t>
      </w:r>
      <w:proofErr w:type="spellEnd"/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-объём пробы, взятой для анализа, см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концентрация, мг/м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коэффициент, соответствующий долям ПДК (1/4, 1/2, 1 ПДК и т.д.).</w:t>
      </w:r>
    </w:p>
    <w:p w14:paraId="0F2E3A33" w14:textId="77777777" w:rsidR="00113CBB" w:rsidRPr="00113CBB" w:rsidRDefault="00113CBB" w:rsidP="00113C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  <w:r w:rsidRPr="0011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Pr="0011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[206 -223]</w:t>
      </w:r>
    </w:p>
    <w:p w14:paraId="7B7B6BB9" w14:textId="77777777" w:rsidR="00113CBB" w:rsidRPr="00113CBB" w:rsidRDefault="00113CBB" w:rsidP="00113C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Контрольные вопросы:   </w:t>
      </w:r>
    </w:p>
    <w:p w14:paraId="48E0970F" w14:textId="77777777" w:rsidR="00113CBB" w:rsidRPr="00113CBB" w:rsidRDefault="00113CBB" w:rsidP="00113C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вредных веществ по степени токсичности и опасности.</w:t>
      </w:r>
    </w:p>
    <w:p w14:paraId="6B100838" w14:textId="77777777" w:rsidR="00113CBB" w:rsidRPr="00113CBB" w:rsidRDefault="00113CBB" w:rsidP="00113C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113C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наблюдений за уровнем загрязнения атмосферы. Отбор проб воздуха.</w:t>
      </w:r>
    </w:p>
    <w:p w14:paraId="61182A27" w14:textId="77777777" w:rsidR="00113CBB" w:rsidRPr="00113CBB" w:rsidRDefault="00113CBB" w:rsidP="00113CB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Контроль за соблюдением </w:t>
      </w:r>
      <w:proofErr w:type="spellStart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13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мррз</w:t>
      </w:r>
      <w:proofErr w:type="spellEnd"/>
      <w:r w:rsidRPr="0011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ОБУВ.</w:t>
      </w:r>
      <w:r w:rsidRPr="00113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71603E4" w14:textId="77777777" w:rsidR="006C6160" w:rsidRDefault="006C6160"/>
    <w:sectPr w:rsidR="006C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2631A8"/>
    <w:lvl w:ilvl="0">
      <w:numFmt w:val="bullet"/>
      <w:lvlText w:val="*"/>
      <w:lvlJc w:val="left"/>
    </w:lvl>
  </w:abstractNum>
  <w:abstractNum w:abstractNumId="1" w15:restartNumberingAfterBreak="0">
    <w:nsid w:val="77041F12"/>
    <w:multiLevelType w:val="singleLevel"/>
    <w:tmpl w:val="7936777C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35"/>
    <w:rsid w:val="000E5A95"/>
    <w:rsid w:val="00113CBB"/>
    <w:rsid w:val="00447671"/>
    <w:rsid w:val="006C6160"/>
    <w:rsid w:val="00B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01F6"/>
  <w15:chartTrackingRefBased/>
  <w15:docId w15:val="{6AF94A90-0184-427B-953B-2E46FDD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24424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2</cp:revision>
  <dcterms:created xsi:type="dcterms:W3CDTF">2020-11-25T18:04:00Z</dcterms:created>
  <dcterms:modified xsi:type="dcterms:W3CDTF">2020-11-25T18:04:00Z</dcterms:modified>
</cp:coreProperties>
</file>