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F3864"/>
          <w:sz w:val="22"/>
          <w:szCs w:val="22"/>
        </w:rPr>
        <w:t xml:space="preserve">НАО «Казахский национальный исследовательский технический университет имени К.И. Сатпаева»</w:t>
      </w:r>
    </w:p>
    <w:p>
      <w:pPr>
        <w:spacing w:after="240"/>
        <w:jc w:val="center"/>
      </w:pPr>
      <w:r>
        <w:rPr>
          <w:color w:val="595959"/>
          <w:sz w:val="20"/>
          <w:szCs w:val="20"/>
        </w:rPr>
        <w:t xml:space="preserve">Институт цифровых технологий и профессионального развития</w:t>
      </w:r>
    </w:p>
    <w:p>
      <w:pPr>
        <w:pBdr>
          <w:bottom w:val="single" w:color="2E75B6" w:sz="6" w:space="6"/>
        </w:pBdr>
        <w:spacing w:after="120" w:before="240"/>
        <w:jc w:val="center"/>
      </w:pPr>
      <w:r>
        <w:rPr>
          <w:b/>
          <w:bCs/>
          <w:color w:val="1F3864"/>
          <w:sz w:val="30"/>
          <w:szCs w:val="30"/>
        </w:rPr>
        <w:t xml:space="preserve">ПРОГРАММА МООК</w:t>
      </w:r>
    </w:p>
    <w:p>
      <w:pPr>
        <w:spacing w:after="60"/>
        <w:jc w:val="center"/>
      </w:pPr>
      <w:r>
        <w:rPr>
          <w:b/>
          <w:bCs/>
          <w:i/>
          <w:iCs/>
          <w:color w:val="2E75B6"/>
          <w:sz w:val="26"/>
          <w:szCs w:val="26"/>
        </w:rPr>
        <w:t xml:space="preserve">«Основы администрирования баз данных на PostgreSQL»</w:t>
      </w:r>
    </w:p>
    <w:p>
      <w:pPr>
        <w:spacing w:after="240"/>
        <w:jc w:val="center"/>
      </w:pPr>
      <w:r>
        <w:rPr>
          <w:i/>
          <w:iCs/>
          <w:color w:val="595959"/>
          <w:sz w:val="20"/>
          <w:szCs w:val="20"/>
        </w:rPr>
        <w:t xml:space="preserve">Обновлено по «Требованиям и критериям к разработке МООК» (ТОО «BMG UpSkill», 2024) · Приложение 3</w:t>
      </w:r>
    </w:p>
    <w:p>
      <w:r>
        <w:br w:type="page"/>
      </w:r>
    </w:p>
    <w:p>
      <w:pPr>
        <w:pStyle w:val="Heading1"/>
      </w:pPr>
      <w:r>
        <w:t xml:space="preserve">1. Паспорт курса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МООК (язык обучения)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МООК (английский, для каталога)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Foundations of Database Administration with PostgreSQL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Продолжительность МООК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30 академических часов (5 модулей × ≈6 часов)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Уровень сложности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Начинающий (Beginner)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Язык МООК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Русский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Язык субтитров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Русский; рекомендуется добавить английские субтитры для расширения аудитории каталога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Университет-разработчик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НАО «Казахский национальный исследовательский технический университет имени К.И. Сатпаева» (Satbayev University)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Сейдуллаевна, старший преподаватель кафедры «Информационные системы», Satbayev University</w:t>
            </w:r>
          </w:p>
        </w:tc>
      </w:tr>
    </w:tbl>
    <w:p>
      <w:pPr>
        <w:pStyle w:val="Heading2"/>
      </w:pPr>
      <w:r>
        <w:t xml:space="preserve">Портрет целевой аудитории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Студенты старших курсов и начинающие специалисты IT-направлений, желающие войти в профессию администратора баз данных.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Разработчики и аналитики, которым нужно на практическом уровне понимать эксплуатацию баз данных, с которыми они работают.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Цели и мотивы: получить структурированный практический фундамент для роли Junior DBA, подтверждённый выполненными заданиями на реальной СУБД.</w:t>
      </w:r>
    </w:p>
    <w:p>
      <w:pPr>
        <w:pStyle w:val="Heading2"/>
      </w:pPr>
      <w:r>
        <w:t xml:space="preserve">Пререквизиты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Базовые знания реляционных баз данных и языка SQL (уровень вводного курса «Базы данных и язык SQL»).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Базовые навыки работы в командной строке Linux приветствуются, но не обязательны — необходимый минимум даётся в Модуле 1.</w:t>
      </w:r>
    </w:p>
    <w:p>
      <w:pPr>
        <w:pStyle w:val="Heading2"/>
      </w:pPr>
      <w:r>
        <w:t xml:space="preserve">Краткое описание МООК</w:t>
      </w:r>
    </w:p>
    <w:p>
      <w:pPr>
        <w:spacing w:after="120"/>
      </w:pPr>
      <w:r>
        <w:t xml:space="preserve">Курс формирует базовые практические навыки администратора баз данных (DBA) на примере PostgreSQL. Обучающийся проходит полный начальный цикл администрирования: от установки и конфигурирования сервера до управления доступом, оптимизации производительности через индексы и обеспечения сохранности данных через транзакции и резервное копирование. Каждая тема подкреплена реальными производственными кейсами (авария GitLab 2017, пиковые нагрузки «Чёрной пятницы», SQL-инъекции), связывающими теорию с практикой эксплуатации.</w:t>
      </w:r>
    </w:p>
    <w:p>
      <w:pPr>
        <w:spacing w:after="120"/>
      </w:pPr>
      <w:r>
        <w:rPr>
          <w:b/>
          <w:bCs/>
        </w:rPr>
        <w:t xml:space="preserve">Результаты обучения. </w:t>
      </w:r>
      <w:r>
        <w:t xml:space="preserve">По завершении курса обучающийся способен: (1) устанавливать и конфигурировать PostgreSQL под рабочую нагрузку; (2) управлять пользователями и правами по принципу наименьших привилегий; (3) анализировать структуру БД и оптимизировать хранение и выборки через индексы; (4) обеспечивать целостность и сохранность данных через транзакции и резервное копирование.</w:t>
      </w:r>
    </w:p>
    <w:p>
      <w:pPr>
        <w:pStyle w:val="Heading2"/>
      </w:pPr>
      <w:r>
        <w:t xml:space="preserve">Доступность</w:t>
      </w:r>
    </w:p>
    <w:p>
      <w:pPr>
        <w:spacing w:after="120"/>
      </w:pPr>
      <w:r>
        <w:t xml:space="preserve">Все видеоматериалы курса сопровождаются субтитрами (транскриптом) на языке обучения для обеспечения инклюзивности и равного доступа обучающихся с особыми образовательными потребностями.</w:t>
      </w:r>
    </w:p>
    <w:p>
      <w:r>
        <w:br w:type="page"/>
      </w:r>
    </w:p>
    <w:p>
      <w:pPr>
        <w:pStyle w:val="Heading1"/>
      </w:pPr>
      <w:r>
        <w:t xml:space="preserve">2. Промо-ролик курса</w:t>
      </w:r>
    </w:p>
    <w:p>
      <w:pPr>
        <w:spacing w:after="120"/>
      </w:pPr>
      <w:r>
        <w:rPr>
          <w:b/>
          <w:bCs/>
        </w:rPr>
        <w:t xml:space="preserve">Хронометраж: </w:t>
      </w:r>
      <w:r>
        <w:t xml:space="preserve">до 3 минут · отдельно от приветственного видео автора в Модуле 1</w:t>
      </w:r>
    </w:p>
    <w:p>
      <w:pPr>
        <w:spacing w:after="120"/>
      </w:pPr>
      <w:r>
        <w:t xml:space="preserve">Промо-ролик кратко и увлекательно представляет курс будущему обучающемуся ещё до записи на курс — на странице курса в каталоге Coursera.</w:t>
      </w:r>
    </w:p>
    <w:p>
      <w:pPr>
        <w:pStyle w:val="Heading2"/>
      </w:pPr>
      <w:r>
        <w:t xml:space="preserve">Структурные элементы промо-ролика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Элемент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Содержание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Ключевая информация о курсе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Что за курс, для кого, из чего состоит (5 модулей, PostgreSQL, практика на реальной СУБД)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Мотивация целевой аудитории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Почему DBA — востребованная профессия; данные как главный актив бизнеса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Возможные трудности обучающегося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Технический материал потребует практики на компьютере; понадобится базовое знание 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Как преодолеть трудности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Пошаговые видео 4–10 минут, чек-листы, разбор реальных кейсов, форум для вопросов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Приобретаемые навыки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Установка и настройка PostgreSQL, управление доступом, индексы, транзакции, резервное копирование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Практическая ценность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Как курс поможет в карьере: базовый профиль Junior DBA, подтверждённый практическими заданиями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3. Структура курса по модулям</w:t>
      </w:r>
    </w:p>
    <w:p>
      <w:pPr>
        <w:spacing w:after="120"/>
      </w:pPr>
      <w:r>
        <w:rPr>
          <w:b/>
          <w:bCs/>
        </w:rPr>
        <w:t xml:space="preserve">Нумерация видео: </w:t>
      </w:r>
      <w:r>
        <w:t xml:space="preserve">по схеме К1_М[номер модуля]_У[номер урока]_В[номер видео], например К1_М1_У1_В1.</w:t>
      </w:r>
    </w:p>
    <w:p>
      <w:pPr>
        <w:pBdr>
          <w:left w:val="single" w:color="2E75B6" w:sz="18" w:space="8"/>
        </w:pBdr>
        <w:shd w:fill="DCE6F1" w:val="clear"/>
        <w:spacing w:after="100" w:before="220"/>
      </w:pPr>
      <w:r>
        <w:rPr>
          <w:b/>
          <w:bCs/>
          <w:color w:val="1F3864"/>
          <w:sz w:val="23"/>
          <w:szCs w:val="23"/>
        </w:rPr>
        <w:t xml:space="preserve">Модуль 1 (Неделя 1) · ≈6 ч · Введение в администрирование БД. Установка и конфигурирование СУБД</w:t>
      </w:r>
    </w:p>
    <w:p>
      <w:pPr>
        <w:spacing w:after="120"/>
      </w:pPr>
      <w:r>
        <w:rPr>
          <w:i/>
          <w:iCs/>
          <w:color w:val="595959"/>
          <w:sz w:val="20"/>
          <w:szCs w:val="20"/>
        </w:rPr>
        <w:t xml:space="preserve">4 видео, 1 материал для чтения, 14 вопросов (4 in-video + 10 quiz), 1 суммативное задание, 1 дискуссия</w:t>
      </w:r>
    </w:p>
    <w:p>
      <w:pPr>
        <w:spacing w:after="120"/>
      </w:pPr>
      <w:r>
        <w:rPr>
          <w:b/>
          <w:bCs/>
        </w:rPr>
        <w:t xml:space="preserve">Видео: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К1_М1_У1_В1 — Данные как главный актив. Кто такой DBA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К1_М1_У1_В2 — Архитектура СУБД и обзор рынка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К1_М1_У2_В1 — Установка PostgreSQL и первое подключение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К1_М1_У2_В2 — Базовое конфигурирование сервера</w:t>
      </w:r>
    </w:p>
    <w:p>
      <w:pPr>
        <w:spacing w:after="120"/>
      </w:pPr>
      <w:r>
        <w:rPr>
          <w:b/>
          <w:bCs/>
        </w:rPr>
        <w:t xml:space="preserve">Материал для чтения: </w:t>
      </w:r>
      <w:r>
        <w:t xml:space="preserve">«10 типичных ошибок при установке и настройке PostgreSQL» (чек-лист)</w:t>
      </w:r>
    </w:p>
    <w:p>
      <w:pPr>
        <w:spacing w:after="120"/>
      </w:pPr>
      <w:r>
        <w:rPr>
          <w:b/>
          <w:bCs/>
        </w:rPr>
        <w:t xml:space="preserve">Формативное оценивание: </w:t>
      </w:r>
      <w:r>
        <w:t xml:space="preserve">14 вопросов (4 in-video + 10 quiz) — video-вопросы без оценки и quiz с разбором ответов, порог 70%</w:t>
      </w:r>
    </w:p>
    <w:p>
      <w:pPr>
        <w:spacing w:after="120"/>
      </w:pPr>
      <w:r>
        <w:rPr>
          <w:b/>
          <w:bCs/>
        </w:rPr>
        <w:t xml:space="preserve">Суммативное задание: </w:t>
      </w:r>
      <w:r>
        <w:t xml:space="preserve">Установка и обоснованное конфигурирование сервера под заданную нагрузку</w:t>
      </w:r>
    </w:p>
    <w:p>
      <w:pPr>
        <w:spacing w:after="120"/>
      </w:pPr>
      <w:r>
        <w:rPr>
          <w:b/>
          <w:bCs/>
        </w:rPr>
        <w:t xml:space="preserve">Дискуссионное задание: </w:t>
      </w:r>
      <w:r>
        <w:t xml:space="preserve">«Какую ошибку из чек-листа вы бы добавили из собственного опыта — и чем она обычно вызвана?»</w:t>
      </w:r>
    </w:p>
    <w:p>
      <w:pPr>
        <w:pBdr>
          <w:left w:val="single" w:color="2E75B6" w:sz="18" w:space="8"/>
        </w:pBdr>
        <w:shd w:fill="DCE6F1" w:val="clear"/>
        <w:spacing w:after="100" w:before="220"/>
      </w:pPr>
      <w:r>
        <w:rPr>
          <w:b/>
          <w:bCs/>
          <w:color w:val="1F3864"/>
          <w:sz w:val="23"/>
          <w:szCs w:val="23"/>
        </w:rPr>
        <w:t xml:space="preserve">Модуль 2 (Неделя 2) · ≈6 ч · Управление пользователями и правами доступа</w:t>
      </w:r>
    </w:p>
    <w:p>
      <w:pPr>
        <w:spacing w:after="120"/>
      </w:pPr>
      <w:r>
        <w:rPr>
          <w:i/>
          <w:iCs/>
          <w:color w:val="595959"/>
          <w:sz w:val="20"/>
          <w:szCs w:val="20"/>
        </w:rPr>
        <w:t xml:space="preserve">4 видео, 1 материал для чтения, 14 вопросов (4 in-video + 10 quiz), 1 суммативное задание, 1 дискуссия, 1 peer review</w:t>
      </w:r>
    </w:p>
    <w:p>
      <w:pPr>
        <w:spacing w:after="120"/>
      </w:pPr>
      <w:r>
        <w:rPr>
          <w:b/>
          <w:bCs/>
        </w:rPr>
        <w:t xml:space="preserve">Видео: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К1_М2_У1_В1 — Модель безопасности: аутентификация и авторизация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К1_М2_У1_В2 — Роли и привилегии: GRANT и REVOKE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К1_М2_У2_В1 — Настройка доступа через pg_hba.conf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К1_М2_У2_В2 — Аудит и анализ журналов</w:t>
      </w:r>
    </w:p>
    <w:p>
      <w:pPr>
        <w:spacing w:after="120"/>
      </w:pPr>
      <w:r>
        <w:rPr>
          <w:b/>
          <w:bCs/>
        </w:rPr>
        <w:t xml:space="preserve">Материал для чтения: </w:t>
      </w:r>
      <w:r>
        <w:t xml:space="preserve">«Шпаргалка: типовые роли и наборы привилегий для отдела продаж, аналитики и разработки»</w:t>
      </w:r>
    </w:p>
    <w:p>
      <w:pPr>
        <w:spacing w:after="120"/>
      </w:pPr>
      <w:r>
        <w:rPr>
          <w:b/>
          <w:bCs/>
        </w:rPr>
        <w:t xml:space="preserve">Формативное оценивание: </w:t>
      </w:r>
      <w:r>
        <w:t xml:space="preserve">14 вопросов (4 in-video + 10 quiz) — video-вопросы без оценки и quiz с разбором ответов, порог 70%</w:t>
      </w:r>
    </w:p>
    <w:p>
      <w:pPr>
        <w:spacing w:after="120"/>
      </w:pPr>
      <w:r>
        <w:rPr>
          <w:b/>
          <w:bCs/>
        </w:rPr>
        <w:t xml:space="preserve">Суммативное задание: </w:t>
      </w:r>
      <w:r>
        <w:t xml:space="preserve">Построение модели доступа для учебной базы данных с обоснованием ролей</w:t>
      </w:r>
    </w:p>
    <w:p>
      <w:pPr>
        <w:spacing w:after="120"/>
      </w:pPr>
      <w:r>
        <w:rPr>
          <w:b/>
          <w:bCs/>
        </w:rPr>
        <w:t xml:space="preserve">Дискуссионное задание: </w:t>
      </w:r>
      <w:r>
        <w:t xml:space="preserve">«Приведите пример, когда нарушение принципа наименьших привилегий привело или могло привести к инциденту»</w:t>
      </w:r>
    </w:p>
    <w:p>
      <w:pPr>
        <w:spacing w:after="120"/>
      </w:pPr>
      <w:r>
        <w:rPr>
          <w:b/>
          <w:bCs/>
        </w:rPr>
        <w:t xml:space="preserve">Задание на взаимооценивание (peer review): </w:t>
      </w:r>
      <w:r>
        <w:t xml:space="preserve">предусмотрено — см. блок формативного оценивания модуля</w:t>
      </w:r>
    </w:p>
    <w:p>
      <w:pPr>
        <w:pBdr>
          <w:left w:val="single" w:color="2E75B6" w:sz="18" w:space="8"/>
        </w:pBdr>
        <w:shd w:fill="DCE6F1" w:val="clear"/>
        <w:spacing w:after="100" w:before="220"/>
      </w:pPr>
      <w:r>
        <w:rPr>
          <w:b/>
          <w:bCs/>
          <w:color w:val="1F3864"/>
          <w:sz w:val="23"/>
          <w:szCs w:val="23"/>
        </w:rPr>
        <w:t xml:space="preserve">Модуль 3 (Неделя 3) · ≈6 ч · Физическая и логическая структура базы данных</w:t>
      </w:r>
    </w:p>
    <w:p>
      <w:pPr>
        <w:spacing w:after="120"/>
      </w:pPr>
      <w:r>
        <w:rPr>
          <w:i/>
          <w:iCs/>
          <w:color w:val="595959"/>
          <w:sz w:val="20"/>
          <w:szCs w:val="20"/>
        </w:rPr>
        <w:t xml:space="preserve">4 видео, 1 материал для чтения, 14 вопросов (4 in-video + 10 quiz), 1 суммативное задание, 1 дискуссия</w:t>
      </w:r>
    </w:p>
    <w:p>
      <w:pPr>
        <w:spacing w:after="120"/>
      </w:pPr>
      <w:r>
        <w:rPr>
          <w:b/>
          <w:bCs/>
        </w:rPr>
        <w:t xml:space="preserve">Видео: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К1_М3_У1_В1 — Логическая структура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К1_М3_У1_В2 — Физическая структура хранения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К1_М3_У2_В1 — Файлы данных, WAL и Checkpoint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К1_М3_У2_В2 — Оптимизация хранения</w:t>
      </w:r>
    </w:p>
    <w:p>
      <w:pPr>
        <w:spacing w:after="120"/>
      </w:pPr>
      <w:r>
        <w:rPr>
          <w:b/>
          <w:bCs/>
        </w:rPr>
        <w:t xml:space="preserve">Материал для чтения: </w:t>
      </w:r>
      <w:r>
        <w:t xml:space="preserve">«Памятка: как выбрать тип данных для колонки» (сравнительная таблица типов PostgreSQL)</w:t>
      </w:r>
    </w:p>
    <w:p>
      <w:pPr>
        <w:spacing w:after="120"/>
      </w:pPr>
      <w:r>
        <w:rPr>
          <w:b/>
          <w:bCs/>
        </w:rPr>
        <w:t xml:space="preserve">Формативное оценивание: </w:t>
      </w:r>
      <w:r>
        <w:t xml:space="preserve">14 вопросов (4 in-video + 10 quiz) — video-вопросы без оценки и quiz с разбором ответов, порог 70%</w:t>
      </w:r>
    </w:p>
    <w:p>
      <w:pPr>
        <w:spacing w:after="120"/>
      </w:pPr>
      <w:r>
        <w:rPr>
          <w:b/>
          <w:bCs/>
        </w:rPr>
        <w:t xml:space="preserve">Суммативное задание: </w:t>
      </w:r>
      <w:r>
        <w:t xml:space="preserve">Анализ физической структуры учебной БД и предложения по оптимизации хранения</w:t>
      </w:r>
    </w:p>
    <w:p>
      <w:pPr>
        <w:spacing w:after="120"/>
      </w:pPr>
      <w:r>
        <w:rPr>
          <w:b/>
          <w:bCs/>
        </w:rPr>
        <w:t xml:space="preserve">Дискуссионное задание: </w:t>
      </w:r>
      <w:r>
        <w:t xml:space="preserve">«Партиционировать или нет: обсудите на примере таблицы логов вашего гипотетического проекта»</w:t>
      </w:r>
    </w:p>
    <w:p>
      <w:pPr>
        <w:pBdr>
          <w:left w:val="single" w:color="2E75B6" w:sz="18" w:space="8"/>
        </w:pBdr>
        <w:shd w:fill="DCE6F1" w:val="clear"/>
        <w:spacing w:after="100" w:before="220"/>
      </w:pPr>
      <w:r>
        <w:rPr>
          <w:b/>
          <w:bCs/>
          <w:color w:val="1F3864"/>
          <w:sz w:val="23"/>
          <w:szCs w:val="23"/>
        </w:rPr>
        <w:t xml:space="preserve">Модуль 4 (Неделя 4) · ≈6 ч · Индексы: теория и практика</w:t>
      </w:r>
    </w:p>
    <w:p>
      <w:pPr>
        <w:spacing w:after="120"/>
      </w:pPr>
      <w:r>
        <w:rPr>
          <w:i/>
          <w:iCs/>
          <w:color w:val="595959"/>
          <w:sz w:val="20"/>
          <w:szCs w:val="20"/>
        </w:rPr>
        <w:t xml:space="preserve">4 видео, 1 материал для чтения, 14 вопросов (4 in-video + 10 quiz), 1 суммативное задание, 1 дискуссия</w:t>
      </w:r>
    </w:p>
    <w:p>
      <w:pPr>
        <w:spacing w:after="120"/>
      </w:pPr>
      <w:r>
        <w:rPr>
          <w:b/>
          <w:bCs/>
        </w:rPr>
        <w:t xml:space="preserve">Видео: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К1_М4_У1_В1 — Что такое индекс. B-Tree и цена записи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К1_М4_У1_В2 — Типы индексов и правило левого префикса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К1_М4_У2_В1 — EXPLAIN ANALYZE на практике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К1_М4_У2_В2 — Обслуживание индексов</w:t>
      </w:r>
    </w:p>
    <w:p>
      <w:pPr>
        <w:spacing w:after="120"/>
      </w:pPr>
      <w:r>
        <w:rPr>
          <w:b/>
          <w:bCs/>
        </w:rPr>
        <w:t xml:space="preserve">Материал для чтения: </w:t>
      </w:r>
      <w:r>
        <w:t xml:space="preserve">«Шпаргалка по EXPLAIN ANALYZE: как читать план выполнения запроса»</w:t>
      </w:r>
    </w:p>
    <w:p>
      <w:pPr>
        <w:spacing w:after="120"/>
      </w:pPr>
      <w:r>
        <w:rPr>
          <w:b/>
          <w:bCs/>
        </w:rPr>
        <w:t xml:space="preserve">Формативное оценивание: </w:t>
      </w:r>
      <w:r>
        <w:t xml:space="preserve">14 вопросов (4 in-video + 10 quiz) — video-вопросы без оценки и quiz с разбором ответов, порог 70%</w:t>
      </w:r>
    </w:p>
    <w:p>
      <w:pPr>
        <w:spacing w:after="120"/>
      </w:pPr>
      <w:r>
        <w:rPr>
          <w:b/>
          <w:bCs/>
        </w:rPr>
        <w:t xml:space="preserve">Суммативное задание: </w:t>
      </w:r>
      <w:r>
        <w:t xml:space="preserve">Проектирование индексов под набор запросов с подтверждением через EXPLAIN ANALYZE</w:t>
      </w:r>
    </w:p>
    <w:p>
      <w:pPr>
        <w:spacing w:after="120"/>
      </w:pPr>
      <w:r>
        <w:rPr>
          <w:b/>
          <w:bCs/>
        </w:rPr>
        <w:t xml:space="preserve">Дискуссионное задание: </w:t>
      </w:r>
      <w:r>
        <w:t xml:space="preserve">«Поделитесь примером запроса, который вы бы ускорили индексом, и объясните какой тип индекса подойдёт»</w:t>
      </w:r>
    </w:p>
    <w:p>
      <w:pPr>
        <w:pBdr>
          <w:left w:val="single" w:color="2E75B6" w:sz="18" w:space="8"/>
        </w:pBdr>
        <w:shd w:fill="DCE6F1" w:val="clear"/>
        <w:spacing w:after="100" w:before="220"/>
      </w:pPr>
      <w:r>
        <w:rPr>
          <w:b/>
          <w:bCs/>
          <w:color w:val="1F3864"/>
          <w:sz w:val="23"/>
          <w:szCs w:val="23"/>
        </w:rPr>
        <w:t xml:space="preserve">Модуль 5 (Неделя 5) · ≈6 ч · Транзакции, параллельный доступ и резервное копирование</w:t>
      </w:r>
    </w:p>
    <w:p>
      <w:pPr>
        <w:spacing w:after="120"/>
      </w:pPr>
      <w:r>
        <w:rPr>
          <w:i/>
          <w:iCs/>
          <w:color w:val="595959"/>
          <w:sz w:val="20"/>
          <w:szCs w:val="20"/>
        </w:rPr>
        <w:t xml:space="preserve">5 видео, 1 материал для чтения, 14 вопросов (5 in-video + 10 quiz), 1 суммативное задание, 1 дискуссия, 1 peer review</w:t>
      </w:r>
    </w:p>
    <w:p>
      <w:pPr>
        <w:spacing w:after="120"/>
      </w:pPr>
      <w:r>
        <w:rPr>
          <w:b/>
          <w:bCs/>
        </w:rPr>
        <w:t xml:space="preserve">Видео: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К1_М5_У1_В1 — ACID и уровни изоляции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К1_М5_У1_В2 — Блокировки, Deadlock и MVCC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К1_М5_У2_В1 — Стратегия резервного копирования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К1_М5_У2_В2 — WAL-архивирование и PITR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К1_М5_У3_В1 — Итог курса и чек-лист Junior DBA</w:t>
      </w:r>
    </w:p>
    <w:p>
      <w:pPr>
        <w:spacing w:after="120"/>
      </w:pPr>
      <w:r>
        <w:rPr>
          <w:b/>
          <w:bCs/>
        </w:rPr>
        <w:t xml:space="preserve">Материал для чтения: </w:t>
      </w:r>
      <w:r>
        <w:t xml:space="preserve">«Чек-лист: правило 3-2-1 и учения по восстановлению — что проверить перед продакшеном»</w:t>
      </w:r>
    </w:p>
    <w:p>
      <w:pPr>
        <w:spacing w:after="120"/>
      </w:pPr>
      <w:r>
        <w:rPr>
          <w:b/>
          <w:bCs/>
        </w:rPr>
        <w:t xml:space="preserve">Формативное оценивание: </w:t>
      </w:r>
      <w:r>
        <w:t xml:space="preserve">14 вопросов (5 in-video + 10 quiz) — video-вопросы без оценки и quiz с разбором ответов, порог 70%</w:t>
      </w:r>
    </w:p>
    <w:p>
      <w:pPr>
        <w:spacing w:after="120"/>
      </w:pPr>
      <w:r>
        <w:rPr>
          <w:b/>
          <w:bCs/>
        </w:rPr>
        <w:t xml:space="preserve">Суммативное задание: </w:t>
      </w:r>
      <w:r>
        <w:t xml:space="preserve">Разработка и обоснование стратегии резервного копирования и восстановления для заданного сценария</w:t>
      </w:r>
    </w:p>
    <w:p>
      <w:pPr>
        <w:spacing w:after="120"/>
      </w:pPr>
      <w:r>
        <w:rPr>
          <w:b/>
          <w:bCs/>
        </w:rPr>
        <w:t xml:space="preserve">Дискуссионное задание: </w:t>
      </w:r>
      <w:r>
        <w:t xml:space="preserve">«Разберите кейс GitLab (2017): что бы вы сделали иначе на месте инженера?»</w:t>
      </w:r>
    </w:p>
    <w:p>
      <w:pPr>
        <w:spacing w:after="120"/>
      </w:pPr>
      <w:r>
        <w:rPr>
          <w:b/>
          <w:bCs/>
        </w:rPr>
        <w:t xml:space="preserve">Задание на взаимооценивание (peer review): </w:t>
      </w:r>
      <w:r>
        <w:t xml:space="preserve">предусмотрено — см. блок формативного оценивания модуля</w:t>
      </w:r>
    </w:p>
    <w:p>
      <w:r>
        <w:br w:type="page"/>
      </w:r>
    </w:p>
    <w:p>
      <w:pPr>
        <w:pStyle w:val="Heading1"/>
      </w:pPr>
      <w:r>
        <w:t xml:space="preserve">4. Сводная таблица элементов курса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2660"/>
        <w:gridCol w:w="1300"/>
        <w:gridCol w:w="1400"/>
        <w:gridCol w:w="1300"/>
        <w:gridCol w:w="900"/>
        <w:gridCol w:w="1800"/>
      </w:tblGrid>
      <w:tr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Модуль</w:t>
            </w:r>
          </w:p>
        </w:tc>
        <w:tc>
          <w:tcPr>
            <w:tcW w:type="dxa" w:w="2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Тема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Видео</w:t>
            </w:r>
          </w:p>
        </w:tc>
        <w:tc>
          <w:tcPr>
            <w:tcW w:type="dxa" w:w="14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Форматив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Суммат.</w:t>
            </w:r>
          </w:p>
        </w:tc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Дискус.</w:t>
            </w:r>
          </w:p>
        </w:tc>
        <w:tc>
          <w:tcPr>
            <w:tcW w:type="dxa" w:w="1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Peer review</w:t>
            </w:r>
          </w:p>
        </w:tc>
      </w:tr>
      <w:tr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Введение в администрирование БД. Установка и конфигурирование СУБД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14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2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Управление пользователями и правами доступа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14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2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Физическая и логическая структура базы данных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14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2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Индексы: теория и практика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14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2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Транзакции, параллельный доступ и резервное копирование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14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DCE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Итого</w:t>
            </w:r>
          </w:p>
        </w:tc>
        <w:tc>
          <w:tcPr>
            <w:tcW w:type="dxa" w:w="2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DCE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5 модулей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DCE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21</w:t>
            </w:r>
          </w:p>
        </w:tc>
        <w:tc>
          <w:tcPr>
            <w:tcW w:type="dxa" w:w="14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DCE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70</w:t>
            </w:r>
          </w:p>
        </w:tc>
        <w:tc>
          <w:tcPr>
            <w:tcW w:type="dxa" w:w="13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DCE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DCE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1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DCE6F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</w:tr>
    </w:tbl>
    <w:p>
      <w:pPr>
        <w:spacing w:before="160"/>
      </w:pPr>
    </w:p>
    <w:p>
      <w:pPr>
        <w:spacing w:after="120"/>
      </w:pPr>
      <w:r>
        <w:t xml:space="preserve">Плюс 1 материал для чтения на каждый модуль (5 всего) и 1 промо-ролик курса (до 3 минут). Итого на курс: 5 дискуссии (по одной на каждый модуль, как того требует п. 2.2 методики BMG UpSkill) и 2 peer review (в пределах рекомендованного вузом объёма 1–2 на курс).</w:t>
      </w:r>
    </w:p>
    <w:p>
      <w:r>
        <w:br w:type="page"/>
      </w:r>
    </w:p>
    <w:p>
      <w:pPr>
        <w:pStyle w:val="Heading1"/>
      </w:pPr>
      <w:r>
        <w:t xml:space="preserve">5. Соответствие требованиям (самопроверка перед подачей)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3160"/>
        <w:gridCol w:w="1000"/>
      </w:tblGrid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Статус в курсе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Общая продолжительность курса ≤ 30 академических часов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30 ч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3–5 недель, каждая неделя = 1 модуль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 модулей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2–4 урока на модуль, 1–2 результата обучения на урок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 урока × 2 результата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30–60 минут видео на модуль, сегменты 4–10 минут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≈40–55 мин, сегменты 5–9 мин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10 и более формативных вопросов на модуль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14 на модуль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 суммативное задание на модуль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 на модуль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 дискуссионное задание на модуль (обсуждение по теме недели)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 дискуссий — по одной на каждый модуль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1–2 peer review на весь курс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 peer review — Модули 2 и 5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Промо-ролик до 3 минут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Подготовлен и оформлен по Таблицам 2–3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Видеоматериалы сопровождаются субтитрами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Запланировано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Результаты обучения показаны в начале каждого видео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Внедрено во все 21 видео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Скорость речи в сценариях 150–180 слов/мин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Применено ко всем 21 видео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  <w:tr>
        <w:tc>
          <w:tcPr>
            <w:tcW w:type="dxa" w:w="5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Материал для чтения на каждый модуль</w:t>
            </w:r>
          </w:p>
        </w:tc>
        <w:tc>
          <w:tcPr>
            <w:tcW w:type="dxa" w:w="3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Готово для всех 5 модулей</w:t>
            </w:r>
          </w:p>
        </w:tc>
        <w:tc>
          <w:tcPr>
            <w:tcW w:type="dxa" w:w="1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✓</w:t>
            </w:r>
          </w:p>
        </w:tc>
      </w:tr>
    </w:tbl>
    <w:p>
      <w:pPr>
        <w:pBdr>
          <w:top w:val="single" w:color="2E75B6" w:sz="6" w:space="6"/>
        </w:pBdr>
        <w:spacing w:before="400"/>
      </w:pPr>
      <w:r>
        <w:rPr>
          <w:i/>
          <w:iCs/>
          <w:color w:val="595959"/>
          <w:sz w:val="18"/>
          <w:szCs w:val="18"/>
        </w:rPr>
        <w:t xml:space="preserve">Программа подготовлена на основе силлабуса SEC5272 и «Требований и критериев к разработке МООК» (ТОО «BMG UpSkill», 2024).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50" w:before="260"/>
      <w:outlineLvl w:val="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160"/>
      <w:outlineLvl w:val="1"/>
    </w:pPr>
    <w:rPr>
      <w:rFonts w:ascii="Arial" w:cs="Arial" w:eastAsia="Arial" w:hAnsi="Arial"/>
      <w:b/>
      <w:bCs/>
      <w:color w:val="2E75B6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2026-08-26T06:47:25.229Z</dcterms:created>
  <dcterms:modified xsi:type="dcterms:W3CDTF">2026-08-26T06:47:25.229Z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