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40"/>
        <w:jc w:val="center"/>
      </w:pPr>
      <w:r>
        <w:rPr>
          <w:color w:val="595959"/>
          <w:sz w:val="20"/>
          <w:szCs w:val="20"/>
        </w:rPr>
        <w:t xml:space="preserve">Satbayev University · МООК «Основы администрирования баз данных на PostgreSQL»</w:t>
      </w:r>
    </w:p>
    <w:p>
      <w:pPr>
        <w:pBdr>
          <w:bottom w:val="single" w:color="2E75B6" w:sz="6" w:space="6"/>
        </w:pBdr>
        <w:spacing w:after="100" w:before="120"/>
        <w:jc w:val="center"/>
      </w:pPr>
      <w:r>
        <w:rPr>
          <w:b/>
          <w:bCs/>
          <w:color w:val="1F3864"/>
          <w:sz w:val="28"/>
          <w:szCs w:val="28"/>
        </w:rPr>
        <w:t xml:space="preserve">ФОРМАТИВНОЕ ОЦЕНИВАНИЕ</w:t>
      </w:r>
    </w:p>
    <w:p>
      <w:pPr>
        <w:spacing w:after="140"/>
        <w:jc w:val="center"/>
      </w:pPr>
      <w:r>
        <w:rPr>
          <w:i/>
          <w:iCs/>
          <w:color w:val="595959"/>
          <w:sz w:val="21"/>
          <w:szCs w:val="21"/>
        </w:rPr>
        <w:t xml:space="preserve">Модуль 1 · Введение в администрирование БД. Установка и конфигурирование СУБД</w:t>
      </w:r>
    </w:p>
    <w:p>
      <w:pPr>
        <w:spacing w:after="140"/>
        <w:jc w:val="center"/>
      </w:pPr>
      <w:r>
        <w:rPr>
          <w:i/>
          <w:iCs/>
          <w:color w:val="595959"/>
          <w:sz w:val="19"/>
          <w:szCs w:val="19"/>
        </w:rPr>
        <w:t xml:space="preserve">Не влияет на итоговую оценку — используется для текущей обратной связи и самопроверки</w:t>
      </w:r>
    </w:p>
    <w:p>
      <w:pPr>
        <w:pStyle w:val="Heading1"/>
      </w:pPr>
      <w:r>
        <w:t xml:space="preserve">1. Видео-вопросы (In-Video Questions) — по одному на каждый сегмент</w:t>
      </w:r>
    </w:p>
    <w:p>
      <w:pPr>
        <w:spacing w:after="140"/>
      </w:pPr>
      <w:r>
        <w:t xml:space="preserve">Не оцениваются. Приостанавливают видео и предлагают обучающемуся кратко ответить или поразмышлять, прежде чем продолжить просмотр.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00"/>
        <w:gridCol w:w="3660"/>
        <w:gridCol w:w="3600"/>
      </w:tblGrid>
      <w:tr>
        <w:tc>
          <w:tcPr>
            <w:tcW w:type="dxa" w:w="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Сегмент</w:t>
            </w:r>
          </w:p>
        </w:tc>
        <w:tc>
          <w:tcPr>
            <w:tcW w:type="dxa" w:w="1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Тайм-код</w:t>
            </w:r>
          </w:p>
        </w:tc>
        <w:tc>
          <w:tcPr>
            <w:tcW w:type="dxa" w:w="36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Вопрос</w:t>
            </w:r>
          </w:p>
        </w:tc>
        <w:tc>
          <w:tcPr>
            <w:tcW w:type="dxa" w:w="3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Комментарий для автора</w:t>
            </w:r>
          </w:p>
        </w:tc>
      </w:tr>
      <w:tr>
        <w:tc>
          <w:tcPr>
            <w:tcW w:type="dxa" w:w="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1.1</w:t>
            </w:r>
          </w:p>
        </w:tc>
        <w:tc>
          <w:tcPr>
            <w:tcW w:type="dxa" w:w="1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≈4:30</w:t>
            </w:r>
          </w:p>
        </w:tc>
        <w:tc>
          <w:tcPr>
            <w:tcW w:type="dxa" w:w="36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Прежде чем мы назовём четыре столпа работы DBA — как вы думаете, какие направления должны туда входить?</w:t>
            </w:r>
          </w:p>
        </w:tc>
        <w:tc>
          <w:tcPr>
            <w:tcW w:type="dxa" w:w="3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Открытый вопрос-размышление; правильного варианта не требуется, цель — активизировать внимание перед ключевым слайдом.</w:t>
            </w:r>
          </w:p>
        </w:tc>
      </w:tr>
      <w:tr>
        <w:tc>
          <w:tcPr>
            <w:tcW w:type="dxa" w:w="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1.2</w:t>
            </w:r>
          </w:p>
        </w:tc>
        <w:tc>
          <w:tcPr>
            <w:tcW w:type="dxa" w:w="1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≈5:00</w:t>
            </w:r>
          </w:p>
        </w:tc>
        <w:tc>
          <w:tcPr>
            <w:tcW w:type="dxa" w:w="36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Подумайте: если бы вам нужно было хранить данные датчиков умного дома с огромной скоростью записи, что бы вы выбрали — реляционную СУБД или NoSQL?</w:t>
            </w:r>
          </w:p>
        </w:tc>
        <w:tc>
          <w:tcPr>
            <w:tcW w:type="dxa" w:w="3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Ожидаемое направление ответа: NoSQL (например, Cassandra) — высокая скорость записи и горизонтальное масштабирование важнее строгой согласованности.</w:t>
            </w:r>
          </w:p>
        </w:tc>
      </w:tr>
      <w:tr>
        <w:tc>
          <w:tcPr>
            <w:tcW w:type="dxa" w:w="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1.3</w:t>
            </w:r>
          </w:p>
        </w:tc>
        <w:tc>
          <w:tcPr>
            <w:tcW w:type="dxa" w:w="1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≈3:30</w:t>
            </w:r>
          </w:p>
        </w:tc>
        <w:tc>
          <w:tcPr>
            <w:tcW w:type="dxa" w:w="36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Как думаете, почему для файлов базы данных сегодня не рекомендуют использовать обычные HDD-диски?</w:t>
            </w:r>
          </w:p>
        </w:tc>
        <w:tc>
          <w:tcPr>
            <w:tcW w:type="dxa" w:w="3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Ожидаемое направление ответа: HDD не выдерживают случайную нагрузку чтения/записи с той скоростью, которая нужна СУБД.</w:t>
            </w:r>
          </w:p>
        </w:tc>
      </w:tr>
      <w:tr>
        <w:tc>
          <w:tcPr>
            <w:tcW w:type="dxa" w:w="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1.4</w:t>
            </w:r>
          </w:p>
        </w:tc>
        <w:tc>
          <w:tcPr>
            <w:tcW w:type="dxa" w:w="1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≈2:00</w:t>
            </w:r>
          </w:p>
        </w:tc>
        <w:tc>
          <w:tcPr>
            <w:tcW w:type="dxa" w:w="36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Прежде чем мы назовём правильную долю памяти под shared_buffers — как думаете, почему нельзя просто поставить 90% RAM?</w:t>
            </w:r>
          </w:p>
        </w:tc>
        <w:tc>
          <w:tcPr>
            <w:tcW w:type="dxa" w:w="3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Ожидаемое направление ответа: операционной системе и другим процессам тоже нужна память, иначе сервер уйдёт в swap.</w:t>
            </w:r>
          </w:p>
        </w:tc>
      </w:tr>
    </w:tbl>
    <w:p>
      <w:pPr>
        <w:spacing w:before="280"/>
      </w:pPr>
    </w:p>
    <w:p>
      <w:pPr>
        <w:pStyle w:val="Heading1"/>
      </w:pPr>
      <w:r>
        <w:t xml:space="preserve">2. Контрольная работа (Quiz) — итоговая проверка по модулю</w:t>
      </w:r>
    </w:p>
    <w:p>
      <w:pPr>
        <w:spacing w:after="140"/>
      </w:pPr>
      <w:r>
        <w:rPr>
          <w:b/>
          <w:bCs/>
        </w:rPr>
        <w:t xml:space="preserve">Тип оценивания: </w:t>
      </w:r>
      <w:r>
        <w:rPr>
          <w:sz w:val="20"/>
          <w:szCs w:val="20"/>
        </w:rPr>
        <w:t xml:space="preserve">формативное (не влияет на итоговую оценку курса) · порог для «зачёта» — 70% правильных ответов · неограниченное число попыток</w:t>
      </w:r>
    </w:p>
    <w:p>
      <w:pPr>
        <w:pBdr>
          <w:left w:val="single" w:color="2E75B6" w:sz="18" w:space="8"/>
        </w:pBdr>
        <w:shd w:fill="EAF1FA" w:val="clear"/>
        <w:spacing w:after="80" w:before="220"/>
      </w:pPr>
      <w:r>
        <w:rPr>
          <w:b/>
          <w:bCs/>
          <w:color w:val="1F3864"/>
          <w:sz w:val="22"/>
          <w:szCs w:val="22"/>
        </w:rPr>
        <w:t xml:space="preserve">Вопрос 1. </w:t>
      </w:r>
      <w:r>
        <w:rPr>
          <w:color w:val="1F3864"/>
          <w:sz w:val="22"/>
          <w:szCs w:val="22"/>
        </w:rPr>
        <w:t xml:space="preserve">Какая доля стоимости IT-инфраструктуры современной компании, по оценке Gartner, приходится на данные?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Около 20%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Около 50%</w:t>
      </w:r>
    </w:p>
    <w:p>
      <w:pPr>
        <w:spacing w:after="50"/>
        <w:ind w:left="300"/>
      </w:pPr>
      <w:r>
        <w:rPr>
          <w:b/>
          <w:bCs/>
          <w:color w:val="0E8A8F"/>
          <w:sz w:val="21"/>
          <w:szCs w:val="21"/>
        </w:rPr>
        <w:t xml:space="preserve">✓ </w:t>
      </w:r>
      <w:r>
        <w:rPr>
          <w:b/>
          <w:bCs/>
          <w:color w:val="0E8A8F"/>
          <w:sz w:val="21"/>
          <w:szCs w:val="21"/>
        </w:rPr>
        <w:t xml:space="preserve">До 80%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100%</w:t>
      </w:r>
    </w:p>
    <w:p>
      <w:pPr>
        <w:shd w:fill="E9F6F6" w:val="clear"/>
        <w:spacing w:after="60" w:before="60"/>
        <w:ind w:left="300"/>
      </w:pPr>
      <w:r>
        <w:rPr>
          <w:b/>
          <w:bCs/>
          <w:color w:val="0E8A8F"/>
          <w:sz w:val="20"/>
          <w:szCs w:val="20"/>
        </w:rPr>
        <w:t xml:space="preserve">Разбор.  </w:t>
      </w:r>
      <w:r>
        <w:rPr>
          <w:sz w:val="20"/>
          <w:szCs w:val="20"/>
        </w:rPr>
        <w:t xml:space="preserve">До 80% стоимости IT-инфраструктуры приходится на данные — серверы и лицензии можно заменить, а утраченные данные клиентов и заказов восстановить неоткуда.</w:t>
      </w:r>
    </w:p>
    <w:p>
      <w:pPr>
        <w:pBdr>
          <w:left w:val="single" w:color="2E75B6" w:sz="18" w:space="8"/>
        </w:pBdr>
        <w:shd w:fill="EAF1FA" w:val="clear"/>
        <w:spacing w:after="80" w:before="220"/>
      </w:pPr>
      <w:r>
        <w:rPr>
          <w:b/>
          <w:bCs/>
          <w:color w:val="1F3864"/>
          <w:sz w:val="22"/>
          <w:szCs w:val="22"/>
        </w:rPr>
        <w:t xml:space="preserve">Вопрос 2. </w:t>
      </w:r>
      <w:r>
        <w:rPr>
          <w:color w:val="1F3864"/>
          <w:sz w:val="22"/>
          <w:szCs w:val="22"/>
        </w:rPr>
        <w:t xml:space="preserve">Что из перечисленного НЕ входит в «четыре столпа» работы DBA?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Установка и конфигурирование СУБД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Высокая доступность и резервное копирование</w:t>
      </w:r>
    </w:p>
    <w:p>
      <w:pPr>
        <w:spacing w:after="50"/>
        <w:ind w:left="300"/>
      </w:pPr>
      <w:r>
        <w:rPr>
          <w:b/>
          <w:bCs/>
          <w:color w:val="0E8A8F"/>
          <w:sz w:val="21"/>
          <w:szCs w:val="21"/>
        </w:rPr>
        <w:t xml:space="preserve">✓ </w:t>
      </w:r>
      <w:r>
        <w:rPr>
          <w:b/>
          <w:bCs/>
          <w:color w:val="0E8A8F"/>
          <w:sz w:val="21"/>
          <w:szCs w:val="21"/>
        </w:rPr>
        <w:t xml:space="preserve">Разработка пользовательского интерфейса приложения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Безопасность данных</w:t>
      </w:r>
    </w:p>
    <w:p>
      <w:pPr>
        <w:shd w:fill="E9F6F6" w:val="clear"/>
        <w:spacing w:after="60" w:before="60"/>
        <w:ind w:left="300"/>
      </w:pPr>
      <w:r>
        <w:rPr>
          <w:b/>
          <w:bCs/>
          <w:color w:val="0E8A8F"/>
          <w:sz w:val="20"/>
          <w:szCs w:val="20"/>
        </w:rPr>
        <w:t xml:space="preserve">Разбор.  </w:t>
      </w:r>
      <w:r>
        <w:rPr>
          <w:sz w:val="20"/>
          <w:szCs w:val="20"/>
        </w:rPr>
        <w:t xml:space="preserve">Разработка UI приложения — задача фронтенд-разработчика, а не администратора баз данных. Четыре столпа DBA: установка/конфигурирование, доступность/бэкап, мониторинг/тюнинг, безопасность.</w:t>
      </w:r>
    </w:p>
    <w:p>
      <w:pPr>
        <w:pBdr>
          <w:left w:val="single" w:color="2E75B6" w:sz="18" w:space="8"/>
        </w:pBdr>
        <w:shd w:fill="EAF1FA" w:val="clear"/>
        <w:spacing w:after="80" w:before="220"/>
      </w:pPr>
      <w:r>
        <w:rPr>
          <w:b/>
          <w:bCs/>
          <w:color w:val="1F3864"/>
          <w:sz w:val="22"/>
          <w:szCs w:val="22"/>
        </w:rPr>
        <w:t xml:space="preserve">Вопрос 3. </w:t>
      </w:r>
      <w:r>
        <w:rPr>
          <w:color w:val="1F3864"/>
          <w:sz w:val="22"/>
          <w:szCs w:val="22"/>
        </w:rPr>
        <w:t xml:space="preserve">Какая модель согласованности характерна для NoSQL-систем?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ACID</w:t>
      </w:r>
    </w:p>
    <w:p>
      <w:pPr>
        <w:spacing w:after="50"/>
        <w:ind w:left="300"/>
      </w:pPr>
      <w:r>
        <w:rPr>
          <w:b/>
          <w:bCs/>
          <w:color w:val="0E8A8F"/>
          <w:sz w:val="21"/>
          <w:szCs w:val="21"/>
        </w:rPr>
        <w:t xml:space="preserve">✓ </w:t>
      </w:r>
      <w:r>
        <w:rPr>
          <w:b/>
          <w:bCs/>
          <w:color w:val="0E8A8F"/>
          <w:sz w:val="21"/>
          <w:szCs w:val="21"/>
        </w:rPr>
        <w:t xml:space="preserve">BASE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CRUD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SOLID</w:t>
      </w:r>
    </w:p>
    <w:p>
      <w:pPr>
        <w:shd w:fill="E9F6F6" w:val="clear"/>
        <w:spacing w:after="60" w:before="60"/>
        <w:ind w:left="300"/>
      </w:pPr>
      <w:r>
        <w:rPr>
          <w:b/>
          <w:bCs/>
          <w:color w:val="0E8A8F"/>
          <w:sz w:val="20"/>
          <w:szCs w:val="20"/>
        </w:rPr>
        <w:t xml:space="preserve">Разбор.  </w:t>
      </w:r>
      <w:r>
        <w:rPr>
          <w:sz w:val="20"/>
          <w:szCs w:val="20"/>
        </w:rPr>
        <w:t xml:space="preserve">NoSQL системы работают по модели BASE (мягкая согласованность), жертвуя строгостью ради скорости записи и горизонтального масштабирования. Реляционные СУБД используют ACID.</w:t>
      </w:r>
    </w:p>
    <w:p>
      <w:pPr>
        <w:pBdr>
          <w:left w:val="single" w:color="2E75B6" w:sz="18" w:space="8"/>
        </w:pBdr>
        <w:shd w:fill="EAF1FA" w:val="clear"/>
        <w:spacing w:after="80" w:before="220"/>
      </w:pPr>
      <w:r>
        <w:rPr>
          <w:b/>
          <w:bCs/>
          <w:color w:val="1F3864"/>
          <w:sz w:val="22"/>
          <w:szCs w:val="22"/>
        </w:rPr>
        <w:t xml:space="preserve">Вопрос 4. </w:t>
      </w:r>
      <w:r>
        <w:rPr>
          <w:color w:val="1F3864"/>
          <w:sz w:val="22"/>
          <w:szCs w:val="22"/>
        </w:rPr>
        <w:t xml:space="preserve">Через какие три ступени проходит SQL-запрос внутри сервера СУБД?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Клиент → Сеть → Диск</w:t>
      </w:r>
    </w:p>
    <w:p>
      <w:pPr>
        <w:spacing w:after="50"/>
        <w:ind w:left="300"/>
      </w:pPr>
      <w:r>
        <w:rPr>
          <w:b/>
          <w:bCs/>
          <w:color w:val="0E8A8F"/>
          <w:sz w:val="21"/>
          <w:szCs w:val="21"/>
        </w:rPr>
        <w:t xml:space="preserve">✓ </w:t>
      </w:r>
      <w:r>
        <w:rPr>
          <w:b/>
          <w:bCs/>
          <w:color w:val="0E8A8F"/>
          <w:sz w:val="21"/>
          <w:szCs w:val="21"/>
        </w:rPr>
        <w:t xml:space="preserve">Парсер → Оптимизатор → Исполнитель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Индекс → Таблица → Кэш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Логин → Авторизация → Запрос</w:t>
      </w:r>
    </w:p>
    <w:p>
      <w:pPr>
        <w:shd w:fill="E9F6F6" w:val="clear"/>
        <w:spacing w:after="60" w:before="60"/>
        <w:ind w:left="300"/>
      </w:pPr>
      <w:r>
        <w:rPr>
          <w:b/>
          <w:bCs/>
          <w:color w:val="0E8A8F"/>
          <w:sz w:val="20"/>
          <w:szCs w:val="20"/>
        </w:rPr>
        <w:t xml:space="preserve">Разбор.  </w:t>
      </w:r>
      <w:r>
        <w:rPr>
          <w:sz w:val="20"/>
          <w:szCs w:val="20"/>
        </w:rPr>
        <w:t xml:space="preserve">Парсер проверяет синтаксис, оптимизатор строит план выполнения, исполнитель читает данные по этому плану. Оптимизатор часто называют «мозгом» СУБД.</w:t>
      </w:r>
    </w:p>
    <w:p>
      <w:pPr>
        <w:pBdr>
          <w:left w:val="single" w:color="2E75B6" w:sz="18" w:space="8"/>
        </w:pBdr>
        <w:shd w:fill="EAF1FA" w:val="clear"/>
        <w:spacing w:after="80" w:before="220"/>
      </w:pPr>
      <w:r>
        <w:rPr>
          <w:b/>
          <w:bCs/>
          <w:color w:val="1F3864"/>
          <w:sz w:val="22"/>
          <w:szCs w:val="22"/>
        </w:rPr>
        <w:t xml:space="preserve">Вопрос 5. </w:t>
      </w:r>
      <w:r>
        <w:rPr>
          <w:color w:val="1F3864"/>
          <w:sz w:val="22"/>
          <w:szCs w:val="22"/>
        </w:rPr>
        <w:t xml:space="preserve">Почему при выборе процессора для сервера БД количество ядер важнее тактовой частоты?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Ядра дешевле в обслуживании</w:t>
      </w:r>
    </w:p>
    <w:p>
      <w:pPr>
        <w:spacing w:after="50"/>
        <w:ind w:left="300"/>
      </w:pPr>
      <w:r>
        <w:rPr>
          <w:b/>
          <w:bCs/>
          <w:color w:val="0E8A8F"/>
          <w:sz w:val="21"/>
          <w:szCs w:val="21"/>
        </w:rPr>
        <w:t xml:space="preserve">✓ </w:t>
      </w:r>
      <w:r>
        <w:rPr>
          <w:b/>
          <w:bCs/>
          <w:color w:val="0E8A8F"/>
          <w:sz w:val="21"/>
          <w:szCs w:val="21"/>
        </w:rPr>
        <w:t xml:space="preserve">База обрабатывает много параллельных запросов, и каждому нужно отдельное ядро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Частота не влияет на производительность вообще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Это исторически сложившаяся рекомендация без технической причины</w:t>
      </w:r>
    </w:p>
    <w:p>
      <w:pPr>
        <w:shd w:fill="E9F6F6" w:val="clear"/>
        <w:spacing w:after="60" w:before="60"/>
        <w:ind w:left="300"/>
      </w:pPr>
      <w:r>
        <w:rPr>
          <w:b/>
          <w:bCs/>
          <w:color w:val="0E8A8F"/>
          <w:sz w:val="20"/>
          <w:szCs w:val="20"/>
        </w:rPr>
        <w:t xml:space="preserve">Разбор.  </w:t>
      </w:r>
      <w:r>
        <w:rPr>
          <w:sz w:val="20"/>
          <w:szCs w:val="20"/>
        </w:rPr>
        <w:t xml:space="preserve">СУБД обслуживает множество параллельных подключений и запросов одновременно, поэтому число ядер напрямую определяет, сколько запросов может выполняться параллельно.</w:t>
      </w:r>
    </w:p>
    <w:p>
      <w:pPr>
        <w:pBdr>
          <w:left w:val="single" w:color="2E75B6" w:sz="18" w:space="8"/>
        </w:pBdr>
        <w:shd w:fill="EAF1FA" w:val="clear"/>
        <w:spacing w:after="80" w:before="220"/>
      </w:pPr>
      <w:r>
        <w:rPr>
          <w:b/>
          <w:bCs/>
          <w:color w:val="1F3864"/>
          <w:sz w:val="22"/>
          <w:szCs w:val="22"/>
        </w:rPr>
        <w:t xml:space="preserve">Вопрос 6. </w:t>
      </w:r>
      <w:r>
        <w:rPr>
          <w:color w:val="1F3864"/>
          <w:sz w:val="22"/>
          <w:szCs w:val="22"/>
        </w:rPr>
        <w:t xml:space="preserve">Что произойдёт, если оперативной памяти на сервере меньше, чем рабочий набор данных (working set)?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Ничего, СУБД автоматически компенсирует это</w:t>
      </w:r>
    </w:p>
    <w:p>
      <w:pPr>
        <w:spacing w:after="50"/>
        <w:ind w:left="300"/>
      </w:pPr>
      <w:r>
        <w:rPr>
          <w:b/>
          <w:bCs/>
          <w:color w:val="0E8A8F"/>
          <w:sz w:val="21"/>
          <w:szCs w:val="21"/>
        </w:rPr>
        <w:t xml:space="preserve">✓ </w:t>
      </w:r>
      <w:r>
        <w:rPr>
          <w:b/>
          <w:bCs/>
          <w:color w:val="0E8A8F"/>
          <w:sz w:val="21"/>
          <w:szCs w:val="21"/>
        </w:rPr>
        <w:t xml:space="preserve">Система уйдёт в swap, и производительность резко упадёт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База данных откажется запускаться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Увеличится скорость записи</w:t>
      </w:r>
    </w:p>
    <w:p>
      <w:pPr>
        <w:shd w:fill="E9F6F6" w:val="clear"/>
        <w:spacing w:after="60" w:before="60"/>
        <w:ind w:left="300"/>
      </w:pPr>
      <w:r>
        <w:rPr>
          <w:b/>
          <w:bCs/>
          <w:color w:val="0E8A8F"/>
          <w:sz w:val="20"/>
          <w:szCs w:val="20"/>
        </w:rPr>
        <w:t xml:space="preserve">Разбор.  </w:t>
      </w:r>
      <w:r>
        <w:rPr>
          <w:sz w:val="20"/>
          <w:szCs w:val="20"/>
        </w:rPr>
        <w:t xml:space="preserve">Когда рабочий набор не помещается в RAM, сервер вынужден обращаться к диску через swap, что кратно снижает производительность — это одна из самых частых причин деградации БД.</w:t>
      </w:r>
    </w:p>
    <w:p>
      <w:pPr>
        <w:pBdr>
          <w:left w:val="single" w:color="2E75B6" w:sz="18" w:space="8"/>
        </w:pBdr>
        <w:shd w:fill="EAF1FA" w:val="clear"/>
        <w:spacing w:after="80" w:before="220"/>
      </w:pPr>
      <w:r>
        <w:rPr>
          <w:b/>
          <w:bCs/>
          <w:color w:val="1F3864"/>
          <w:sz w:val="22"/>
          <w:szCs w:val="22"/>
        </w:rPr>
        <w:t xml:space="preserve">Вопрос 7. </w:t>
      </w:r>
      <w:r>
        <w:rPr>
          <w:color w:val="1F3864"/>
          <w:sz w:val="22"/>
          <w:szCs w:val="22"/>
        </w:rPr>
        <w:t xml:space="preserve">Какую долю оперативной памяти рекомендуется отдавать под shared_buffers на выделенном сервере БД?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5–10%</w:t>
      </w:r>
    </w:p>
    <w:p>
      <w:pPr>
        <w:spacing w:after="50"/>
        <w:ind w:left="300"/>
      </w:pPr>
      <w:r>
        <w:rPr>
          <w:b/>
          <w:bCs/>
          <w:color w:val="0E8A8F"/>
          <w:sz w:val="21"/>
          <w:szCs w:val="21"/>
        </w:rPr>
        <w:t xml:space="preserve">✓ </w:t>
      </w:r>
      <w:r>
        <w:rPr>
          <w:b/>
          <w:bCs/>
          <w:color w:val="0E8A8F"/>
          <w:sz w:val="21"/>
          <w:szCs w:val="21"/>
        </w:rPr>
        <w:t xml:space="preserve">25–40%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80–90%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100%</w:t>
      </w:r>
    </w:p>
    <w:p>
      <w:pPr>
        <w:shd w:fill="E9F6F6" w:val="clear"/>
        <w:spacing w:after="60" w:before="60"/>
        <w:ind w:left="300"/>
      </w:pPr>
      <w:r>
        <w:rPr>
          <w:b/>
          <w:bCs/>
          <w:color w:val="0E8A8F"/>
          <w:sz w:val="20"/>
          <w:szCs w:val="20"/>
        </w:rPr>
        <w:t xml:space="preserve">Разбор.  </w:t>
      </w:r>
      <w:r>
        <w:rPr>
          <w:sz w:val="20"/>
          <w:szCs w:val="20"/>
        </w:rPr>
        <w:t xml:space="preserve">25–40% RAM — рекомендованный диапазон. Меньше — недостаточно кэша; больше 80-90% — не остаётся памяти ОС и другим процессам, что провоцирует swap.</w:t>
      </w:r>
    </w:p>
    <w:p>
      <w:pPr>
        <w:pBdr>
          <w:left w:val="single" w:color="2E75B6" w:sz="18" w:space="8"/>
        </w:pBdr>
        <w:shd w:fill="EAF1FA" w:val="clear"/>
        <w:spacing w:after="80" w:before="220"/>
      </w:pPr>
      <w:r>
        <w:rPr>
          <w:b/>
          <w:bCs/>
          <w:color w:val="1F3864"/>
          <w:sz w:val="22"/>
          <w:szCs w:val="22"/>
        </w:rPr>
        <w:t xml:space="preserve">Вопрос 8. </w:t>
      </w:r>
      <w:r>
        <w:rPr>
          <w:color w:val="1F3864"/>
          <w:sz w:val="22"/>
          <w:szCs w:val="22"/>
        </w:rPr>
        <w:t xml:space="preserve">Почему файлы данных и журналы WAL рекомендуется размещать на разных физических дисках?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Это требование лицензии PostgreSQL</w:t>
      </w:r>
    </w:p>
    <w:p>
      <w:pPr>
        <w:spacing w:after="50"/>
        <w:ind w:left="300"/>
      </w:pPr>
      <w:r>
        <w:rPr>
          <w:b/>
          <w:bCs/>
          <w:color w:val="0E8A8F"/>
          <w:sz w:val="21"/>
          <w:szCs w:val="21"/>
        </w:rPr>
        <w:t xml:space="preserve">✓ </w:t>
      </w:r>
      <w:r>
        <w:rPr>
          <w:b/>
          <w:bCs/>
          <w:color w:val="0E8A8F"/>
          <w:sz w:val="21"/>
          <w:szCs w:val="21"/>
        </w:rPr>
        <w:t xml:space="preserve">У них разный характер обращения к диску: случайный против последовательного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Так проще делать резервные копии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Разницы нет, это просто традиция</w:t>
      </w:r>
    </w:p>
    <w:p>
      <w:pPr>
        <w:shd w:fill="E9F6F6" w:val="clear"/>
        <w:spacing w:after="60" w:before="60"/>
        <w:ind w:left="300"/>
      </w:pPr>
      <w:r>
        <w:rPr>
          <w:b/>
          <w:bCs/>
          <w:color w:val="0E8A8F"/>
          <w:sz w:val="20"/>
          <w:szCs w:val="20"/>
        </w:rPr>
        <w:t xml:space="preserve">Разбор.  </w:t>
      </w:r>
      <w:r>
        <w:rPr>
          <w:sz w:val="20"/>
          <w:szCs w:val="20"/>
        </w:rPr>
        <w:t xml:space="preserve">Файлы данных читаются в случайном порядке (random I/O), а WAL пишется строго последовательно (sequential I/O). Совмещение на одном диске вызывает thrashing и падение производительности.</w:t>
      </w:r>
    </w:p>
    <w:p>
      <w:pPr>
        <w:pBdr>
          <w:left w:val="single" w:color="2E75B6" w:sz="18" w:space="8"/>
        </w:pBdr>
        <w:shd w:fill="EAF1FA" w:val="clear"/>
        <w:spacing w:after="80" w:before="220"/>
      </w:pPr>
      <w:r>
        <w:rPr>
          <w:b/>
          <w:bCs/>
          <w:color w:val="1F3864"/>
          <w:sz w:val="22"/>
          <w:szCs w:val="22"/>
        </w:rPr>
        <w:t xml:space="preserve">Вопрос 9. </w:t>
      </w:r>
      <w:r>
        <w:rPr>
          <w:color w:val="1F3864"/>
          <w:sz w:val="22"/>
          <w:szCs w:val="22"/>
        </w:rPr>
        <w:t xml:space="preserve">Зачем нужен пул соединений (например, PgBouncer)?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Для шифрования трафика</w:t>
      </w:r>
    </w:p>
    <w:p>
      <w:pPr>
        <w:spacing w:after="50"/>
        <w:ind w:left="300"/>
      </w:pPr>
      <w:r>
        <w:rPr>
          <w:b/>
          <w:bCs/>
          <w:color w:val="0E8A8F"/>
          <w:sz w:val="21"/>
          <w:szCs w:val="21"/>
        </w:rPr>
        <w:t xml:space="preserve">✓ </w:t>
      </w:r>
      <w:r>
        <w:rPr>
          <w:b/>
          <w:bCs/>
          <w:color w:val="0E8A8F"/>
          <w:sz w:val="21"/>
          <w:szCs w:val="21"/>
        </w:rPr>
        <w:t xml:space="preserve">Чтобы снизить расход памяти при большом числе клиентских подключений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Для автоматического создания индексов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Для визуализации запросов</w:t>
      </w:r>
    </w:p>
    <w:p>
      <w:pPr>
        <w:shd w:fill="E9F6F6" w:val="clear"/>
        <w:spacing w:after="60" w:before="60"/>
        <w:ind w:left="300"/>
      </w:pPr>
      <w:r>
        <w:rPr>
          <w:b/>
          <w:bCs/>
          <w:color w:val="0E8A8F"/>
          <w:sz w:val="20"/>
          <w:szCs w:val="20"/>
        </w:rPr>
        <w:t xml:space="preserve">Разбор.  </w:t>
      </w:r>
      <w:r>
        <w:rPr>
          <w:sz w:val="20"/>
          <w:szCs w:val="20"/>
        </w:rPr>
        <w:t xml:space="preserve">Каждое прямое подключение к PostgreSQL занимает ~5 МБ памяти. Пул соединений переиспользует небольшой набор готовых соединений, резко снижая расход памяти при множестве клиентов.</w:t>
      </w:r>
    </w:p>
    <w:p>
      <w:pPr>
        <w:pBdr>
          <w:left w:val="single" w:color="2E75B6" w:sz="18" w:space="8"/>
        </w:pBdr>
        <w:shd w:fill="EAF1FA" w:val="clear"/>
        <w:spacing w:after="80" w:before="220"/>
      </w:pPr>
      <w:r>
        <w:rPr>
          <w:b/>
          <w:bCs/>
          <w:color w:val="1F3864"/>
          <w:sz w:val="22"/>
          <w:szCs w:val="22"/>
        </w:rPr>
        <w:t xml:space="preserve">Вопрос 10. </w:t>
      </w:r>
      <w:r>
        <w:rPr>
          <w:color w:val="1F3864"/>
          <w:sz w:val="22"/>
          <w:szCs w:val="22"/>
        </w:rPr>
        <w:t xml:space="preserve">Какой метод аутентификации в pg_hba.conf нельзя использовать в боевой (production) среде?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scram-sha-256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Проверка по сертификату</w:t>
      </w:r>
    </w:p>
    <w:p>
      <w:pPr>
        <w:spacing w:after="50"/>
        <w:ind w:left="300"/>
      </w:pPr>
      <w:r>
        <w:rPr>
          <w:b/>
          <w:bCs/>
          <w:color w:val="0E8A8F"/>
          <w:sz w:val="21"/>
          <w:szCs w:val="21"/>
        </w:rPr>
        <w:t xml:space="preserve">✓ </w:t>
      </w:r>
      <w:r>
        <w:rPr>
          <w:b/>
          <w:bCs/>
          <w:color w:val="0E8A8F"/>
          <w:sz w:val="21"/>
          <w:szCs w:val="21"/>
        </w:rPr>
        <w:t xml:space="preserve">trust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Все перечисленные варианты допустимы</w:t>
      </w:r>
    </w:p>
    <w:p>
      <w:pPr>
        <w:shd w:fill="E9F6F6" w:val="clear"/>
        <w:spacing w:after="60" w:before="60"/>
        <w:ind w:left="300"/>
      </w:pPr>
      <w:r>
        <w:rPr>
          <w:b/>
          <w:bCs/>
          <w:color w:val="0E8A8F"/>
          <w:sz w:val="20"/>
          <w:szCs w:val="20"/>
        </w:rPr>
        <w:t xml:space="preserve">Разбор.  </w:t>
      </w:r>
      <w:r>
        <w:rPr>
          <w:sz w:val="20"/>
          <w:szCs w:val="20"/>
        </w:rPr>
        <w:t xml:space="preserve">Метод trust пропускает подключение вообще без проверки пароля. Он допустим только для локальной отладки, но опасен в боевой среде — это классическая уязвимость по невнимательности.</w:t>
      </w:r>
    </w:p>
    <w:p>
      <w:pPr>
        <w:spacing w:before="280"/>
      </w:pPr>
    </w:p>
    <w:p>
      <w:pPr>
        <w:shd w:fill="EAF1FA" w:val="clear"/>
        <w:spacing w:after="140"/>
      </w:pPr>
      <w:r>
        <w:rPr>
          <w:i/>
          <w:iCs/>
          <w:color w:val="1F3864"/>
          <w:sz w:val="20"/>
          <w:szCs w:val="20"/>
        </w:rPr>
        <w:t xml:space="preserve">Примечание: задания на взаимооценивание (peer review) в этом курсе сосредоточены в Модулях 2 и 5, где взаимная проверка даёт наибольшую практическую пользу (модель доступа и стратегия резервного копирования). Это соответствует рекомендованному объёму 1–2 peer review на весь курс. Полное распределение — в Программе МООК.</w:t>
      </w:r>
    </w:p>
    <w:sectPr>
      <w:pgSz w:w="12240" w:h="15840" w:orient="portrait"/>
      <w:pgMar w:top="1440" w:right="1080" w:bottom="144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2E75B6" w:sz="6" w:space="4"/>
      </w:pBdr>
      <w:spacing w:after="120" w:before="200"/>
      <w:outlineLvl w:val="0"/>
    </w:pPr>
    <w:rPr>
      <w:rFonts w:ascii="Arial" w:cs="Arial" w:eastAsia="Arial" w:hAnsi="Arial"/>
      <w:b/>
      <w:bCs/>
      <w:color w:val="1F3864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Абдуллаева А.С.</dc:creator>
  <cp:lastModifiedBy>Абдуллаева А.С.</cp:lastModifiedBy>
  <cp:revision>1</cp:revision>
  <dcterms:created xsi:type="dcterms:W3CDTF">2026-08-26T03:55:56.412Z</dcterms:created>
  <dcterms:modified xsi:type="dcterms:W3CDTF">2026-08-26T03:55:56.426Z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