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77D" w:rsidRDefault="0042277D" w:rsidP="0042277D">
      <w:pPr>
        <w:pStyle w:val="a4"/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kk-KZ"/>
        </w:rPr>
        <w:t>Лекция 4</w:t>
      </w:r>
    </w:p>
    <w:p w:rsidR="00BB169E" w:rsidRPr="00610B02" w:rsidRDefault="00BB169E" w:rsidP="0042277D">
      <w:pPr>
        <w:pStyle w:val="a4"/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b/>
          <w:bCs/>
          <w:color w:val="auto"/>
          <w:sz w:val="28"/>
          <w:szCs w:val="28"/>
        </w:rPr>
        <w:t>Катушка индуктивности (</w:t>
      </w:r>
      <w:proofErr w:type="gramStart"/>
      <w:r w:rsidRPr="00610B02">
        <w:rPr>
          <w:b/>
          <w:bCs/>
          <w:color w:val="auto"/>
          <w:sz w:val="28"/>
          <w:szCs w:val="28"/>
        </w:rPr>
        <w:t>идеальная  индуктивность</w:t>
      </w:r>
      <w:proofErr w:type="gramEnd"/>
      <w:r w:rsidRPr="00610B02">
        <w:rPr>
          <w:b/>
          <w:bCs/>
          <w:color w:val="auto"/>
          <w:sz w:val="28"/>
          <w:szCs w:val="28"/>
        </w:rPr>
        <w:t>)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jc w:val="center"/>
        <w:rPr>
          <w:color w:val="auto"/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4554747" cy="1958196"/>
            <wp:effectExtent l="0" t="0" r="0" b="0"/>
            <wp:docPr id="121" name="Рисунок 121" descr="http://toehelp.ru/theory/toe/lecture07/image034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toehelp.ru/theory/toe/lecture07/image034-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195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При идеальной индуктивности ток отстает от напряжения по фазе на </w:t>
      </w:r>
      <w:r w:rsidRPr="00610B02">
        <w:rPr>
          <w:noProof/>
          <w:sz w:val="28"/>
          <w:szCs w:val="28"/>
        </w:rPr>
        <w:drawing>
          <wp:inline distT="0" distB="0" distL="0" distR="0">
            <wp:extent cx="180975" cy="448310"/>
            <wp:effectExtent l="0" t="0" r="0" b="0"/>
            <wp:docPr id="122" name="Рисунок 122" descr="http://toehelp.ru/theory/toe/lecture07/image036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toehelp.ru/theory/toe/lecture07/image036-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. Поэтому в соответствии с (3) можно записать </w:t>
      </w:r>
      <w:r w:rsidRPr="00610B02">
        <w:rPr>
          <w:noProof/>
          <w:sz w:val="28"/>
          <w:szCs w:val="28"/>
        </w:rPr>
        <w:drawing>
          <wp:inline distT="0" distB="0" distL="0" distR="0">
            <wp:extent cx="1716405" cy="1224915"/>
            <wp:effectExtent l="19050" t="0" r="0" b="0"/>
            <wp:docPr id="123" name="Рисунок 123" descr="http://toehelp.ru/theory/toe/lecture07/image038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toehelp.ru/theory/toe/lecture07/image038-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Участок 1-</w:t>
      </w:r>
      <w:proofErr w:type="gramStart"/>
      <w:r w:rsidRPr="00610B02">
        <w:rPr>
          <w:color w:val="auto"/>
          <w:sz w:val="28"/>
          <w:szCs w:val="28"/>
        </w:rPr>
        <w:t>2:  энергия</w:t>
      </w:r>
      <w:proofErr w:type="gramEnd"/>
      <w:r w:rsidRPr="00610B02">
        <w:rPr>
          <w:color w:val="auto"/>
          <w:sz w:val="28"/>
          <w:szCs w:val="28"/>
        </w:rPr>
        <w:t xml:space="preserve"> </w:t>
      </w:r>
      <w:r w:rsidRPr="00610B02">
        <w:rPr>
          <w:noProof/>
          <w:sz w:val="28"/>
          <w:szCs w:val="28"/>
        </w:rPr>
        <w:drawing>
          <wp:inline distT="0" distB="0" distL="0" distR="0">
            <wp:extent cx="336550" cy="483235"/>
            <wp:effectExtent l="0" t="0" r="0" b="0"/>
            <wp:docPr id="124" name="Рисунок 124" descr="http://toehelp.ru/theory/toe/lecture07/image040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toehelp.ru/theory/toe/lecture07/image040-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, запасаемая в магнитном поле катушки, нарастает. 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Участок 2-3: энергия магнитного поля убывает, возвращаясь в источник.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b/>
          <w:bCs/>
          <w:color w:val="auto"/>
          <w:sz w:val="28"/>
          <w:szCs w:val="28"/>
        </w:rPr>
        <w:t>3. Конденсатор (</w:t>
      </w:r>
      <w:proofErr w:type="gramStart"/>
      <w:r w:rsidRPr="00610B02">
        <w:rPr>
          <w:b/>
          <w:bCs/>
          <w:color w:val="auto"/>
          <w:sz w:val="28"/>
          <w:szCs w:val="28"/>
        </w:rPr>
        <w:t>идеальная  емкость</w:t>
      </w:r>
      <w:proofErr w:type="gramEnd"/>
      <w:r w:rsidRPr="00610B02">
        <w:rPr>
          <w:b/>
          <w:bCs/>
          <w:color w:val="auto"/>
          <w:sz w:val="28"/>
          <w:szCs w:val="28"/>
        </w:rPr>
        <w:t>)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Аналогичный характер имеют процессы и для идеальной емкости. Здесь </w:t>
      </w:r>
      <w:r w:rsidRPr="00610B02">
        <w:rPr>
          <w:noProof/>
          <w:sz w:val="28"/>
          <w:szCs w:val="28"/>
        </w:rPr>
        <w:drawing>
          <wp:inline distT="0" distB="0" distL="0" distR="0">
            <wp:extent cx="603885" cy="448310"/>
            <wp:effectExtent l="0" t="0" r="5715" b="0"/>
            <wp:docPr id="125" name="Рисунок 125" descr="http://toehelp.ru/theory/toe/lecture07/image042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toehelp.ru/theory/toe/lecture07/image042-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. Поэтому из (3) вытекает, что </w:t>
      </w:r>
      <w:r w:rsidRPr="00610B02">
        <w:rPr>
          <w:noProof/>
          <w:sz w:val="28"/>
          <w:szCs w:val="28"/>
        </w:rPr>
        <w:drawing>
          <wp:inline distT="0" distB="0" distL="0" distR="0">
            <wp:extent cx="1294130" cy="241300"/>
            <wp:effectExtent l="19050" t="0" r="0" b="0"/>
            <wp:docPr id="126" name="Рисунок 126" descr="http://toehelp.ru/theory/toe/lecture07/image044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toehelp.ru/theory/toe/lecture07/image044-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 Таким образом, в катушке индуктивности и конденсаторе активная мощность не потребляется (Р=0), так как в них не происходит необратимого преобразования энергии в другие виды энергии. Здесь происходит только циркуляция энергии: электрическая энергия запасается в магнитном поле катушки или электрическом поле конденсатора на протяжении четверти периода, а на протяжении следующей четверти периода энергия вновь возвращается в сеть. В силу этого катушку индуктивности и конденсатор называют реактивными элементами, а их сопротивления Х</w:t>
      </w:r>
      <w:proofErr w:type="gramStart"/>
      <w:r w:rsidRPr="00610B02">
        <w:rPr>
          <w:color w:val="auto"/>
          <w:sz w:val="28"/>
          <w:szCs w:val="28"/>
          <w:vertAlign w:val="subscript"/>
        </w:rPr>
        <w:t>L</w:t>
      </w:r>
      <w:r w:rsidRPr="00610B02">
        <w:rPr>
          <w:color w:val="auto"/>
          <w:sz w:val="28"/>
          <w:szCs w:val="28"/>
        </w:rPr>
        <w:t>  и</w:t>
      </w:r>
      <w:proofErr w:type="gramEnd"/>
      <w:r w:rsidRPr="00610B02">
        <w:rPr>
          <w:color w:val="auto"/>
          <w:sz w:val="28"/>
          <w:szCs w:val="28"/>
        </w:rPr>
        <w:t xml:space="preserve"> Х</w:t>
      </w:r>
      <w:r w:rsidRPr="00610B02">
        <w:rPr>
          <w:color w:val="auto"/>
          <w:sz w:val="28"/>
          <w:szCs w:val="28"/>
          <w:vertAlign w:val="subscript"/>
        </w:rPr>
        <w:t>С</w:t>
      </w:r>
      <w:r w:rsidRPr="00610B02">
        <w:rPr>
          <w:color w:val="auto"/>
          <w:sz w:val="28"/>
          <w:szCs w:val="28"/>
        </w:rPr>
        <w:t xml:space="preserve"> , в отличие от активного сопротивления R резистора, – реактивными.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Интенсивность обмена энергии принято характеризовать наибольшим значением скорости поступления энергии в магнитное поле катушки или электрическое поле конденсатора, которое называется </w:t>
      </w:r>
      <w:r w:rsidRPr="00610B02">
        <w:rPr>
          <w:b/>
          <w:bCs/>
          <w:color w:val="auto"/>
          <w:sz w:val="28"/>
          <w:szCs w:val="28"/>
        </w:rPr>
        <w:t>реактивной мощностью</w:t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В общем случае выражение для реактивной мощности имеет вид: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lastRenderedPageBreak/>
              <w:drawing>
                <wp:inline distT="0" distB="0" distL="0" distR="0">
                  <wp:extent cx="914400" cy="224155"/>
                  <wp:effectExtent l="0" t="0" r="0" b="0"/>
                  <wp:docPr id="127" name="Рисунок 127" descr="http://toehelp.ru/theory/toe/lecture07/image046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toehelp.ru/theory/toe/lecture07/image046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(5)</w:t>
            </w:r>
          </w:p>
        </w:tc>
      </w:tr>
    </w:tbl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 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Она положительна при отстающем токе (индуктивная нагрузка- </w:t>
      </w:r>
      <w:r w:rsidRPr="00610B02">
        <w:rPr>
          <w:noProof/>
          <w:sz w:val="28"/>
          <w:szCs w:val="28"/>
        </w:rPr>
        <w:drawing>
          <wp:inline distT="0" distB="0" distL="0" distR="0">
            <wp:extent cx="431165" cy="224155"/>
            <wp:effectExtent l="19050" t="0" r="6985" b="0"/>
            <wp:docPr id="128" name="Рисунок 128" descr="http://toehelp.ru/theory/toe/lecture07/image048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toehelp.ru/theory/toe/lecture07/image048-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) и отрицательна при опережающем токе (емкостная нагрузка- </w:t>
      </w:r>
      <w:r w:rsidRPr="00610B02">
        <w:rPr>
          <w:noProof/>
          <w:sz w:val="28"/>
          <w:szCs w:val="28"/>
        </w:rPr>
        <w:drawing>
          <wp:inline distT="0" distB="0" distL="0" distR="0">
            <wp:extent cx="422910" cy="224155"/>
            <wp:effectExtent l="19050" t="0" r="0" b="0"/>
            <wp:docPr id="129" name="Рисунок 129" descr="http://toehelp.ru/theory/toe/lecture07/image050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toehelp.ru/theory/toe/lecture07/image050-4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). Единицу мощности в применении к измерению реактивной мощности называют </w:t>
      </w:r>
      <w:r w:rsidRPr="00610B02">
        <w:rPr>
          <w:b/>
          <w:bCs/>
          <w:color w:val="auto"/>
          <w:sz w:val="28"/>
          <w:szCs w:val="28"/>
        </w:rPr>
        <w:t>вольт-ампер реактивный</w:t>
      </w:r>
      <w:r w:rsidRPr="00610B02">
        <w:rPr>
          <w:color w:val="auto"/>
          <w:sz w:val="28"/>
          <w:szCs w:val="28"/>
        </w:rPr>
        <w:t xml:space="preserve"> (</w:t>
      </w:r>
      <w:proofErr w:type="spellStart"/>
      <w:r w:rsidRPr="00610B02">
        <w:rPr>
          <w:color w:val="auto"/>
          <w:sz w:val="28"/>
          <w:szCs w:val="28"/>
        </w:rPr>
        <w:t>ВАр</w:t>
      </w:r>
      <w:proofErr w:type="spellEnd"/>
      <w:r w:rsidRPr="00610B02">
        <w:rPr>
          <w:color w:val="auto"/>
          <w:sz w:val="28"/>
          <w:szCs w:val="28"/>
        </w:rPr>
        <w:t>).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proofErr w:type="gramStart"/>
      <w:r w:rsidRPr="00610B02">
        <w:rPr>
          <w:color w:val="auto"/>
          <w:sz w:val="28"/>
          <w:szCs w:val="28"/>
        </w:rPr>
        <w:t>В частности</w:t>
      </w:r>
      <w:proofErr w:type="gramEnd"/>
      <w:r w:rsidRPr="00610B02">
        <w:rPr>
          <w:color w:val="auto"/>
          <w:sz w:val="28"/>
          <w:szCs w:val="28"/>
        </w:rPr>
        <w:t xml:space="preserve"> для катушки индуктивности имеем: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1397635" cy="241300"/>
            <wp:effectExtent l="0" t="0" r="0" b="0"/>
            <wp:docPr id="130" name="Рисунок 130" descr="http://toehelp.ru/theory/toe/lecture07/image052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toehelp.ru/theory/toe/lecture07/image052-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, так как </w:t>
      </w:r>
      <w:r w:rsidRPr="00610B02">
        <w:rPr>
          <w:noProof/>
          <w:sz w:val="28"/>
          <w:szCs w:val="28"/>
        </w:rPr>
        <w:drawing>
          <wp:inline distT="0" distB="0" distL="0" distR="0">
            <wp:extent cx="483235" cy="448310"/>
            <wp:effectExtent l="0" t="0" r="0" b="0"/>
            <wp:docPr id="131" name="Рисунок 131" descr="http://toehelp.ru/theory/toe/lecture07/image054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toehelp.ru/theory/toe/lecture07/image054-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2656840" cy="603885"/>
            <wp:effectExtent l="19050" t="0" r="0" b="0"/>
            <wp:docPr id="132" name="Рисунок 132" descr="http://toehelp.ru/theory/toe/lecture07/image056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toehelp.ru/theory/toe/lecture07/image056-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Из последнего видно, что реактивная мощность для идеальной катушки индуктивности пропорциональна частоте и максимальному запасу энергии в катушке. Аналогично можно получить для идеального конденсатора: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1130300" cy="569595"/>
            <wp:effectExtent l="19050" t="0" r="0" b="0"/>
            <wp:docPr id="133" name="Рисунок 133" descr="http://toehelp.ru/theory/toe/lecture07/image058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toehelp.ru/theory/toe/lecture07/image058-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</w:t>
      </w:r>
    </w:p>
    <w:p w:rsidR="00AF79A4" w:rsidRPr="00610B02" w:rsidRDefault="00AF79A4" w:rsidP="00AF79A4">
      <w:pPr>
        <w:spacing w:before="100" w:beforeAutospacing="1" w:after="100" w:afterAutospacing="1"/>
        <w:ind w:left="360"/>
        <w:jc w:val="center"/>
        <w:rPr>
          <w:b/>
          <w:bCs/>
          <w:color w:val="auto"/>
          <w:sz w:val="28"/>
          <w:szCs w:val="28"/>
        </w:rPr>
      </w:pPr>
    </w:p>
    <w:p w:rsidR="00BB169E" w:rsidRPr="00610B02" w:rsidRDefault="0042277D" w:rsidP="00AF79A4">
      <w:pPr>
        <w:spacing w:before="100" w:beforeAutospacing="1" w:after="100" w:afterAutospacing="1"/>
        <w:ind w:left="36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kk-KZ"/>
        </w:rPr>
        <w:br/>
      </w:r>
      <w:r w:rsidR="00BB169E" w:rsidRPr="00610B02">
        <w:rPr>
          <w:b/>
          <w:bCs/>
          <w:color w:val="auto"/>
          <w:sz w:val="28"/>
          <w:szCs w:val="28"/>
        </w:rPr>
        <w:t>Полная мощность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Помимо понятий активной и реактивной мощностей в электротехнике широко используется понятие </w:t>
      </w:r>
      <w:r w:rsidRPr="00610B02">
        <w:rPr>
          <w:b/>
          <w:bCs/>
          <w:color w:val="auto"/>
          <w:sz w:val="28"/>
          <w:szCs w:val="28"/>
        </w:rPr>
        <w:t>полной мощности: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017905" cy="241300"/>
                  <wp:effectExtent l="0" t="0" r="0" b="0"/>
                  <wp:docPr id="134" name="Рисунок 134" descr="http://toehelp.ru/theory/toe/lecture07/image060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toehelp.ru/theory/toe/lecture07/image060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>. 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(6)</w:t>
            </w:r>
          </w:p>
        </w:tc>
      </w:tr>
    </w:tbl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 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Активная, реактивная и полная мощности связаны следующим соотношением: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078230" cy="336550"/>
                  <wp:effectExtent l="0" t="0" r="7620" b="0"/>
                  <wp:docPr id="135" name="Рисунок 135" descr="http://toehelp.ru/theory/toe/lecture07/image062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toehelp.ru/theory/toe/lecture07/image062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>. 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(7)</w:t>
            </w:r>
          </w:p>
        </w:tc>
      </w:tr>
    </w:tbl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 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Отношение активной мощности к полной называют </w:t>
      </w:r>
      <w:r w:rsidRPr="00610B02">
        <w:rPr>
          <w:b/>
          <w:bCs/>
          <w:color w:val="auto"/>
          <w:sz w:val="28"/>
          <w:szCs w:val="28"/>
        </w:rPr>
        <w:t>коэффициентом мощности</w:t>
      </w:r>
      <w:r w:rsidRPr="00610B02">
        <w:rPr>
          <w:color w:val="auto"/>
          <w:sz w:val="28"/>
          <w:szCs w:val="28"/>
        </w:rPr>
        <w:t xml:space="preserve">. Из приведенных выше соотношений видно, что коэффициент мощности </w:t>
      </w:r>
      <w:r w:rsidRPr="00610B02">
        <w:rPr>
          <w:noProof/>
          <w:sz w:val="28"/>
          <w:szCs w:val="28"/>
        </w:rPr>
        <w:drawing>
          <wp:inline distT="0" distB="0" distL="0" distR="0">
            <wp:extent cx="422910" cy="189865"/>
            <wp:effectExtent l="0" t="0" r="0" b="0"/>
            <wp:docPr id="136" name="Рисунок 136" descr="http://toehelp.ru/theory/toe/lecture07/image064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toehelp.ru/theory/toe/lecture07/image064-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 равен косинусу угла сдвига между током и напряжением. Итак,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lastRenderedPageBreak/>
              <w:drawing>
                <wp:inline distT="0" distB="0" distL="0" distR="0">
                  <wp:extent cx="750570" cy="457200"/>
                  <wp:effectExtent l="19050" t="0" r="0" b="0"/>
                  <wp:docPr id="137" name="Рисунок 137" descr="http://toehelp.ru/theory/toe/lecture07/image066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toehelp.ru/theory/toe/lecture07/image066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>. 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(8)</w:t>
            </w:r>
          </w:p>
        </w:tc>
      </w:tr>
    </w:tbl>
    <w:p w:rsidR="00BB169E" w:rsidRDefault="00BB169E" w:rsidP="000C6620">
      <w:pPr>
        <w:pStyle w:val="a4"/>
        <w:spacing w:before="100" w:beforeAutospacing="1" w:after="100" w:afterAutospacing="1"/>
        <w:rPr>
          <w:color w:val="auto"/>
          <w:sz w:val="28"/>
          <w:szCs w:val="28"/>
        </w:rPr>
      </w:pPr>
      <w:bookmarkStart w:id="0" w:name="_GoBack"/>
      <w:bookmarkEnd w:id="0"/>
    </w:p>
    <w:sectPr w:rsidR="00BB169E" w:rsidSect="008D6906">
      <w:pgSz w:w="11906" w:h="16838"/>
      <w:pgMar w:top="1134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B10"/>
    <w:multiLevelType w:val="multilevel"/>
    <w:tmpl w:val="1A3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2B4"/>
    <w:multiLevelType w:val="multilevel"/>
    <w:tmpl w:val="8C7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52997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94E"/>
    <w:multiLevelType w:val="multilevel"/>
    <w:tmpl w:val="F91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422EE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D506E"/>
    <w:multiLevelType w:val="multilevel"/>
    <w:tmpl w:val="A54A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6065D"/>
    <w:multiLevelType w:val="hybridMultilevel"/>
    <w:tmpl w:val="F4840992"/>
    <w:lvl w:ilvl="0" w:tplc="2AD6E0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1BB3"/>
    <w:multiLevelType w:val="hybridMultilevel"/>
    <w:tmpl w:val="42B6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C664B"/>
    <w:multiLevelType w:val="hybridMultilevel"/>
    <w:tmpl w:val="55ACFD94"/>
    <w:lvl w:ilvl="0" w:tplc="C7A81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AE790">
      <w:numFmt w:val="none"/>
      <w:lvlText w:val=""/>
      <w:lvlJc w:val="left"/>
      <w:pPr>
        <w:tabs>
          <w:tab w:val="num" w:pos="360"/>
        </w:tabs>
      </w:pPr>
    </w:lvl>
    <w:lvl w:ilvl="2" w:tplc="2D5450EE">
      <w:numFmt w:val="none"/>
      <w:lvlText w:val=""/>
      <w:lvlJc w:val="left"/>
      <w:pPr>
        <w:tabs>
          <w:tab w:val="num" w:pos="360"/>
        </w:tabs>
      </w:pPr>
    </w:lvl>
    <w:lvl w:ilvl="3" w:tplc="2722C3A6">
      <w:numFmt w:val="none"/>
      <w:lvlText w:val=""/>
      <w:lvlJc w:val="left"/>
      <w:pPr>
        <w:tabs>
          <w:tab w:val="num" w:pos="360"/>
        </w:tabs>
      </w:pPr>
    </w:lvl>
    <w:lvl w:ilvl="4" w:tplc="39780368">
      <w:numFmt w:val="none"/>
      <w:lvlText w:val=""/>
      <w:lvlJc w:val="left"/>
      <w:pPr>
        <w:tabs>
          <w:tab w:val="num" w:pos="360"/>
        </w:tabs>
      </w:pPr>
    </w:lvl>
    <w:lvl w:ilvl="5" w:tplc="0D329D74">
      <w:numFmt w:val="none"/>
      <w:lvlText w:val=""/>
      <w:lvlJc w:val="left"/>
      <w:pPr>
        <w:tabs>
          <w:tab w:val="num" w:pos="360"/>
        </w:tabs>
      </w:pPr>
    </w:lvl>
    <w:lvl w:ilvl="6" w:tplc="FA787740">
      <w:numFmt w:val="none"/>
      <w:lvlText w:val=""/>
      <w:lvlJc w:val="left"/>
      <w:pPr>
        <w:tabs>
          <w:tab w:val="num" w:pos="360"/>
        </w:tabs>
      </w:pPr>
    </w:lvl>
    <w:lvl w:ilvl="7" w:tplc="59C66D80">
      <w:numFmt w:val="none"/>
      <w:lvlText w:val=""/>
      <w:lvlJc w:val="left"/>
      <w:pPr>
        <w:tabs>
          <w:tab w:val="num" w:pos="360"/>
        </w:tabs>
      </w:pPr>
    </w:lvl>
    <w:lvl w:ilvl="8" w:tplc="4F40BAC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A3F0F69"/>
    <w:multiLevelType w:val="multilevel"/>
    <w:tmpl w:val="B00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B27B6"/>
    <w:multiLevelType w:val="multilevel"/>
    <w:tmpl w:val="572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055B2"/>
    <w:multiLevelType w:val="multilevel"/>
    <w:tmpl w:val="A76C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770E3"/>
    <w:multiLevelType w:val="hybridMultilevel"/>
    <w:tmpl w:val="A094C894"/>
    <w:lvl w:ilvl="0" w:tplc="A9EA080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D5F02"/>
    <w:multiLevelType w:val="multilevel"/>
    <w:tmpl w:val="538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F0A32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15DEE"/>
    <w:multiLevelType w:val="multilevel"/>
    <w:tmpl w:val="9FA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237ED"/>
    <w:multiLevelType w:val="multilevel"/>
    <w:tmpl w:val="A0F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232A5"/>
    <w:multiLevelType w:val="hybridMultilevel"/>
    <w:tmpl w:val="09AC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42545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"/>
  </w:num>
  <w:num w:numId="5">
    <w:abstractNumId w:val="14"/>
  </w:num>
  <w:num w:numId="6">
    <w:abstractNumId w:val="7"/>
  </w:num>
  <w:num w:numId="7">
    <w:abstractNumId w:val="16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15"/>
  </w:num>
  <w:num w:numId="14">
    <w:abstractNumId w:val="9"/>
  </w:num>
  <w:num w:numId="15">
    <w:abstractNumId w:val="13"/>
  </w:num>
  <w:num w:numId="16">
    <w:abstractNumId w:val="12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F6"/>
    <w:rsid w:val="00002A41"/>
    <w:rsid w:val="00007864"/>
    <w:rsid w:val="00021B0F"/>
    <w:rsid w:val="00032CAC"/>
    <w:rsid w:val="00042C45"/>
    <w:rsid w:val="00083180"/>
    <w:rsid w:val="000857F5"/>
    <w:rsid w:val="0009070E"/>
    <w:rsid w:val="00095EE6"/>
    <w:rsid w:val="000968A4"/>
    <w:rsid w:val="000C6620"/>
    <w:rsid w:val="000E3862"/>
    <w:rsid w:val="000F56D9"/>
    <w:rsid w:val="00105255"/>
    <w:rsid w:val="00106623"/>
    <w:rsid w:val="00152211"/>
    <w:rsid w:val="00155DF2"/>
    <w:rsid w:val="00156D03"/>
    <w:rsid w:val="00167151"/>
    <w:rsid w:val="001B559B"/>
    <w:rsid w:val="001D7897"/>
    <w:rsid w:val="00230584"/>
    <w:rsid w:val="00236A09"/>
    <w:rsid w:val="00240DAF"/>
    <w:rsid w:val="00265ABE"/>
    <w:rsid w:val="00277E9C"/>
    <w:rsid w:val="002918EB"/>
    <w:rsid w:val="002B47A1"/>
    <w:rsid w:val="002B4B8D"/>
    <w:rsid w:val="002D0B66"/>
    <w:rsid w:val="002E1CA8"/>
    <w:rsid w:val="003167FA"/>
    <w:rsid w:val="003230F5"/>
    <w:rsid w:val="003348C3"/>
    <w:rsid w:val="0034692C"/>
    <w:rsid w:val="00347856"/>
    <w:rsid w:val="00353DF4"/>
    <w:rsid w:val="00360F70"/>
    <w:rsid w:val="003659CA"/>
    <w:rsid w:val="0037346A"/>
    <w:rsid w:val="00374F02"/>
    <w:rsid w:val="00383A59"/>
    <w:rsid w:val="00391E8F"/>
    <w:rsid w:val="003A0034"/>
    <w:rsid w:val="003A1D93"/>
    <w:rsid w:val="003A63EB"/>
    <w:rsid w:val="003A67A3"/>
    <w:rsid w:val="003B286E"/>
    <w:rsid w:val="003B7F97"/>
    <w:rsid w:val="003C79E1"/>
    <w:rsid w:val="003C7F5C"/>
    <w:rsid w:val="003F463E"/>
    <w:rsid w:val="00401EC4"/>
    <w:rsid w:val="004025E6"/>
    <w:rsid w:val="00402FD9"/>
    <w:rsid w:val="00410FAC"/>
    <w:rsid w:val="00415953"/>
    <w:rsid w:val="0042277D"/>
    <w:rsid w:val="00426B54"/>
    <w:rsid w:val="00434009"/>
    <w:rsid w:val="0046033F"/>
    <w:rsid w:val="00480B8A"/>
    <w:rsid w:val="004E0D22"/>
    <w:rsid w:val="004F1870"/>
    <w:rsid w:val="00582625"/>
    <w:rsid w:val="00590E4D"/>
    <w:rsid w:val="005D4CC7"/>
    <w:rsid w:val="005F2009"/>
    <w:rsid w:val="005F5869"/>
    <w:rsid w:val="00610B02"/>
    <w:rsid w:val="00626247"/>
    <w:rsid w:val="0063334D"/>
    <w:rsid w:val="00641532"/>
    <w:rsid w:val="00642480"/>
    <w:rsid w:val="006533F7"/>
    <w:rsid w:val="0065711F"/>
    <w:rsid w:val="00666579"/>
    <w:rsid w:val="006C28C8"/>
    <w:rsid w:val="006C5583"/>
    <w:rsid w:val="006D0979"/>
    <w:rsid w:val="006E050E"/>
    <w:rsid w:val="006E76F7"/>
    <w:rsid w:val="00726D21"/>
    <w:rsid w:val="0077530E"/>
    <w:rsid w:val="00782E95"/>
    <w:rsid w:val="007869EC"/>
    <w:rsid w:val="007A379A"/>
    <w:rsid w:val="007A67EA"/>
    <w:rsid w:val="007B5094"/>
    <w:rsid w:val="007C0976"/>
    <w:rsid w:val="007D52E8"/>
    <w:rsid w:val="007E5D8E"/>
    <w:rsid w:val="007F0400"/>
    <w:rsid w:val="007F28F3"/>
    <w:rsid w:val="0080568A"/>
    <w:rsid w:val="00814874"/>
    <w:rsid w:val="00841648"/>
    <w:rsid w:val="0084165C"/>
    <w:rsid w:val="00844A1E"/>
    <w:rsid w:val="00845BE1"/>
    <w:rsid w:val="008565D2"/>
    <w:rsid w:val="008926E4"/>
    <w:rsid w:val="008936FA"/>
    <w:rsid w:val="008B5CA4"/>
    <w:rsid w:val="008C0D1C"/>
    <w:rsid w:val="008C5C94"/>
    <w:rsid w:val="008D6906"/>
    <w:rsid w:val="00904B91"/>
    <w:rsid w:val="00906DAE"/>
    <w:rsid w:val="009304D7"/>
    <w:rsid w:val="00964E0E"/>
    <w:rsid w:val="00981316"/>
    <w:rsid w:val="009D28BC"/>
    <w:rsid w:val="009F1234"/>
    <w:rsid w:val="00A14BDB"/>
    <w:rsid w:val="00A17D79"/>
    <w:rsid w:val="00A26B01"/>
    <w:rsid w:val="00A4512D"/>
    <w:rsid w:val="00A5773B"/>
    <w:rsid w:val="00A66938"/>
    <w:rsid w:val="00A77E0E"/>
    <w:rsid w:val="00AA31D1"/>
    <w:rsid w:val="00AA77D1"/>
    <w:rsid w:val="00AB4B7A"/>
    <w:rsid w:val="00AB7E92"/>
    <w:rsid w:val="00AD3C58"/>
    <w:rsid w:val="00AE2472"/>
    <w:rsid w:val="00AE2676"/>
    <w:rsid w:val="00AE2A2C"/>
    <w:rsid w:val="00AE3837"/>
    <w:rsid w:val="00AF79A4"/>
    <w:rsid w:val="00B0239C"/>
    <w:rsid w:val="00B0348F"/>
    <w:rsid w:val="00B07825"/>
    <w:rsid w:val="00B22F97"/>
    <w:rsid w:val="00B25C01"/>
    <w:rsid w:val="00B35FBF"/>
    <w:rsid w:val="00B37E2D"/>
    <w:rsid w:val="00B47AC0"/>
    <w:rsid w:val="00B84FA8"/>
    <w:rsid w:val="00B86076"/>
    <w:rsid w:val="00B902C7"/>
    <w:rsid w:val="00B93B0C"/>
    <w:rsid w:val="00B949E9"/>
    <w:rsid w:val="00BA136F"/>
    <w:rsid w:val="00BB169E"/>
    <w:rsid w:val="00BC58A5"/>
    <w:rsid w:val="00BD257A"/>
    <w:rsid w:val="00BF5EF6"/>
    <w:rsid w:val="00C0578E"/>
    <w:rsid w:val="00C1251A"/>
    <w:rsid w:val="00C15C1A"/>
    <w:rsid w:val="00C16587"/>
    <w:rsid w:val="00C25406"/>
    <w:rsid w:val="00C54377"/>
    <w:rsid w:val="00C81E6B"/>
    <w:rsid w:val="00C862D1"/>
    <w:rsid w:val="00C878B3"/>
    <w:rsid w:val="00C903BF"/>
    <w:rsid w:val="00C9666B"/>
    <w:rsid w:val="00CB6124"/>
    <w:rsid w:val="00CC442C"/>
    <w:rsid w:val="00CE6A89"/>
    <w:rsid w:val="00CF1B4B"/>
    <w:rsid w:val="00CF3C3F"/>
    <w:rsid w:val="00D151DC"/>
    <w:rsid w:val="00D3234C"/>
    <w:rsid w:val="00D4497B"/>
    <w:rsid w:val="00D46B94"/>
    <w:rsid w:val="00D76BB8"/>
    <w:rsid w:val="00DC6E97"/>
    <w:rsid w:val="00DD4E63"/>
    <w:rsid w:val="00DE055E"/>
    <w:rsid w:val="00DE33F2"/>
    <w:rsid w:val="00DE39F3"/>
    <w:rsid w:val="00DF12F8"/>
    <w:rsid w:val="00E3648D"/>
    <w:rsid w:val="00E74CB7"/>
    <w:rsid w:val="00E77DEB"/>
    <w:rsid w:val="00E946E5"/>
    <w:rsid w:val="00EA7292"/>
    <w:rsid w:val="00EA7D44"/>
    <w:rsid w:val="00EC47B3"/>
    <w:rsid w:val="00EC5264"/>
    <w:rsid w:val="00ED0D37"/>
    <w:rsid w:val="00EE1E96"/>
    <w:rsid w:val="00EE548D"/>
    <w:rsid w:val="00EE5B53"/>
    <w:rsid w:val="00EF3644"/>
    <w:rsid w:val="00F77B69"/>
    <w:rsid w:val="00F821CB"/>
    <w:rsid w:val="00FD1946"/>
    <w:rsid w:val="00FD63C2"/>
    <w:rsid w:val="00FE0DDD"/>
    <w:rsid w:val="00FE0FC5"/>
    <w:rsid w:val="00FF668D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26EC"/>
  <w15:docId w15:val="{03093C54-23FC-4D1C-A0B2-90C37E2A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3BF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690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690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0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078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903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360F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basedOn w:val="a0"/>
    <w:uiPriority w:val="99"/>
    <w:unhideWhenUsed/>
    <w:rsid w:val="00814874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814874"/>
    <w:pPr>
      <w:ind w:left="720"/>
      <w:contextualSpacing/>
    </w:pPr>
  </w:style>
  <w:style w:type="character" w:customStyle="1" w:styleId="searchmatch">
    <w:name w:val="searchmatch"/>
    <w:basedOn w:val="a0"/>
    <w:rsid w:val="008B5CA4"/>
  </w:style>
  <w:style w:type="character" w:customStyle="1" w:styleId="Bodytext2">
    <w:name w:val="Body text (2)"/>
    <w:basedOn w:val="a0"/>
    <w:link w:val="Bodytext21"/>
    <w:uiPriority w:val="99"/>
    <w:locked/>
    <w:rsid w:val="00590E4D"/>
    <w:rPr>
      <w:rFonts w:ascii="Times New Roman" w:hAnsi="Times New Roman"/>
      <w:sz w:val="42"/>
      <w:szCs w:val="42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90E4D"/>
    <w:pPr>
      <w:shd w:val="clear" w:color="auto" w:fill="FFFFFF"/>
      <w:spacing w:after="60" w:line="240" w:lineRule="atLeast"/>
      <w:jc w:val="both"/>
    </w:pPr>
    <w:rPr>
      <w:rFonts w:eastAsiaTheme="minorHAnsi" w:cstheme="minorBidi"/>
      <w:color w:val="auto"/>
      <w:sz w:val="42"/>
      <w:szCs w:val="4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1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1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rsid w:val="007B5094"/>
    <w:pPr>
      <w:suppressAutoHyphens/>
      <w:spacing w:before="280" w:after="280"/>
      <w:ind w:firstLine="567"/>
      <w:jc w:val="both"/>
    </w:pPr>
    <w:rPr>
      <w:color w:val="auto"/>
      <w:lang w:eastAsia="ar-SA"/>
    </w:rPr>
  </w:style>
  <w:style w:type="character" w:customStyle="1" w:styleId="z-">
    <w:name w:val="z-Начало формы Знак"/>
    <w:basedOn w:val="a0"/>
    <w:link w:val="z-0"/>
    <w:uiPriority w:val="99"/>
    <w:semiHidden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76BB8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D76BB8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styleId="a8">
    <w:name w:val="Strong"/>
    <w:basedOn w:val="a0"/>
    <w:uiPriority w:val="22"/>
    <w:qFormat/>
    <w:rsid w:val="00D76BB8"/>
    <w:rPr>
      <w:b/>
      <w:bCs/>
    </w:rPr>
  </w:style>
  <w:style w:type="paragraph" w:customStyle="1" w:styleId="headlines">
    <w:name w:val="headlines"/>
    <w:basedOn w:val="a"/>
    <w:rsid w:val="00D76BB8"/>
    <w:pPr>
      <w:spacing w:before="100" w:beforeAutospacing="1" w:after="100" w:afterAutospacing="1"/>
    </w:pPr>
    <w:rPr>
      <w:color w:val="auto"/>
    </w:rPr>
  </w:style>
  <w:style w:type="paragraph" w:customStyle="1" w:styleId="headlinetitle">
    <w:name w:val="headlinetitle"/>
    <w:basedOn w:val="a"/>
    <w:rsid w:val="00D76BB8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8D6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8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0B0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styleId="a9">
    <w:name w:val="FollowedHyperlink"/>
    <w:uiPriority w:val="99"/>
    <w:semiHidden/>
    <w:unhideWhenUsed/>
    <w:rsid w:val="00610B02"/>
    <w:rPr>
      <w:color w:val="800080"/>
      <w:u w:val="single"/>
    </w:rPr>
  </w:style>
  <w:style w:type="paragraph" w:customStyle="1" w:styleId="msonormal0">
    <w:name w:val="msonormal"/>
    <w:basedOn w:val="a"/>
    <w:rsid w:val="00610B02"/>
    <w:pPr>
      <w:spacing w:before="100" w:beforeAutospacing="1" w:after="100" w:afterAutospacing="1"/>
    </w:pPr>
    <w:rPr>
      <w:color w:val="auto"/>
    </w:rPr>
  </w:style>
  <w:style w:type="paragraph" w:styleId="aa">
    <w:name w:val="caption"/>
    <w:basedOn w:val="a"/>
    <w:semiHidden/>
    <w:unhideWhenUsed/>
    <w:qFormat/>
    <w:rsid w:val="00610B02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semiHidden/>
    <w:unhideWhenUsed/>
    <w:qFormat/>
    <w:rsid w:val="00610B02"/>
    <w:pPr>
      <w:widowControl w:val="0"/>
      <w:autoSpaceDE w:val="0"/>
      <w:autoSpaceDN w:val="0"/>
      <w:ind w:left="218"/>
    </w:pPr>
    <w:rPr>
      <w:rFonts w:ascii="Arial" w:eastAsia="Arial" w:hAnsi="Arial" w:cs="Arial"/>
      <w:i/>
      <w:color w:val="auto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610B02"/>
    <w:rPr>
      <w:rFonts w:ascii="Arial" w:eastAsia="Arial" w:hAnsi="Arial" w:cs="Arial"/>
      <w:i/>
      <w:sz w:val="24"/>
      <w:szCs w:val="24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610B02"/>
    <w:pPr>
      <w:widowControl w:val="0"/>
      <w:autoSpaceDE w:val="0"/>
      <w:autoSpaceDN w:val="0"/>
      <w:spacing w:line="315" w:lineRule="exact"/>
      <w:ind w:left="108"/>
    </w:pPr>
    <w:rPr>
      <w:color w:val="auto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610B02"/>
    <w:pPr>
      <w:widowControl w:val="0"/>
      <w:autoSpaceDE w:val="0"/>
      <w:autoSpaceDN w:val="0"/>
      <w:ind w:left="218"/>
      <w:outlineLvl w:val="1"/>
    </w:pPr>
    <w:rPr>
      <w:rFonts w:ascii="Calibri" w:eastAsia="Calibri" w:hAnsi="Calibri" w:cs="Calibri"/>
      <w:b/>
      <w:bCs/>
      <w:i/>
      <w:color w:val="auto"/>
      <w:lang w:bidi="ru-RU"/>
    </w:rPr>
  </w:style>
  <w:style w:type="character" w:customStyle="1" w:styleId="js-phone-number">
    <w:name w:val="js-phone-number"/>
    <w:basedOn w:val="a0"/>
    <w:rsid w:val="00610B02"/>
  </w:style>
  <w:style w:type="table" w:styleId="ad">
    <w:name w:val="Table Grid"/>
    <w:basedOn w:val="a1"/>
    <w:uiPriority w:val="59"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Light List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991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2703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33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3869979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9492151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31040516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1608982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817571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8136712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8426363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95127584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0410673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108269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7778865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9685113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1122576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508529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6690504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029639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1441428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7456265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68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0B3A-8D8C-4C12-ACAB-C1C23426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Nazira Kenessova</cp:lastModifiedBy>
  <cp:revision>7</cp:revision>
  <cp:lastPrinted>2012-10-03T07:12:00Z</cp:lastPrinted>
  <dcterms:created xsi:type="dcterms:W3CDTF">2021-09-06T03:43:00Z</dcterms:created>
  <dcterms:modified xsi:type="dcterms:W3CDTF">2023-11-09T08:15:00Z</dcterms:modified>
</cp:coreProperties>
</file>